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2E829B" w14:textId="145CDC59">
      <w:pPr>
        <w:jc w:val="both"/>
        <w:textAlignment w:val="baseline"/>
        <w:rPr>
          <w:rFonts w:ascii="Arial" w:eastAsia="Times New Roman" w:hAnsi="Arial" w:cs="Arial"/>
          <w:b/>
          <w:bCs/>
          <w:sz w:val="28"/>
          <w:szCs w:val="28"/>
        </w:rPr>
      </w:pPr>
      <w:r>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227CE51D" wp14:editId="0BF18761">
            <wp:simplePos x="0" y="0"/>
            <wp:positionH relativeFrom="column">
              <wp:posOffset>130628</wp:posOffset>
            </wp:positionH>
            <wp:positionV relativeFrom="paragraph">
              <wp:posOffset>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99A1" w14:textId="721AD960">
      <w:pPr>
        <w:tabs>
          <w:tab w:val="left" w:pos="1141"/>
          <w:tab w:val="center" w:pos="3417"/>
        </w:tabs>
        <w:textAlignment w:val="baseline"/>
        <w:rPr>
          <w:rFonts w:ascii="Arial" w:eastAsia="Times New Roman" w:hAnsi="Arial" w:cs="Arial"/>
          <w:b/>
          <w:bCs/>
          <w:sz w:val="32"/>
          <w:szCs w:val="32"/>
        </w:rPr>
      </w:pPr>
      <w:r>
        <w:rPr>
          <w:rFonts w:ascii="Arial" w:eastAsia="Times New Roman" w:hAnsi="Arial" w:cs="Arial"/>
          <w:b/>
          <w:bCs/>
          <w:sz w:val="32"/>
          <w:szCs w:val="32"/>
        </w:rPr>
        <w:tab/>
      </w:r>
      <w:r>
        <w:rPr>
          <w:rFonts w:ascii="Arial" w:eastAsia="Times New Roman" w:hAnsi="Arial" w:cs="Arial"/>
          <w:b/>
          <w:bCs/>
          <w:sz w:val="32"/>
          <w:szCs w:val="32"/>
        </w:rPr>
        <w:tab/>
      </w:r>
    </w:p>
    <w:p w14:paraId="270DA2B1" w14:textId="77777777">
      <w:pPr>
        <w:jc w:val="center"/>
        <w:textAlignment w:val="baseline"/>
        <w:rPr>
          <w:rFonts w:ascii="Arial" w:eastAsia="Times New Roman" w:hAnsi="Arial" w:cs="Arial"/>
          <w:b/>
          <w:bCs/>
          <w:sz w:val="32"/>
          <w:szCs w:val="32"/>
        </w:rPr>
      </w:pPr>
    </w:p>
    <w:p w14:paraId="00D09408" w14:textId="77777777">
      <w:pPr>
        <w:textAlignment w:val="baseline"/>
        <w:rPr>
          <w:rFonts w:ascii="Arial" w:eastAsia="Times New Roman" w:hAnsi="Arial" w:cs="Arial"/>
          <w:b/>
          <w:bCs/>
          <w:sz w:val="32"/>
          <w:szCs w:val="32"/>
        </w:rPr>
      </w:pPr>
    </w:p>
    <w:p w14:paraId="0C2C0517" w14:textId="7052EF02">
      <w:pPr>
        <w:jc w:val="center"/>
        <w:textAlignment w:val="baseline"/>
        <w:rPr>
          <w:rFonts w:ascii="Arial" w:eastAsia="Times New Roman" w:hAnsi="Arial" w:cs="Arial"/>
          <w:b/>
          <w:bCs/>
          <w:sz w:val="32"/>
          <w:szCs w:val="32"/>
        </w:rPr>
      </w:pPr>
      <w:r>
        <w:rPr>
          <w:rFonts w:ascii="Arial" w:eastAsia="Times New Roman" w:hAnsi="Arial" w:cs="Arial"/>
          <w:b/>
          <w:bCs/>
          <w:sz w:val="32"/>
          <w:szCs w:val="32"/>
        </w:rPr>
        <w:t xml:space="preserve">Bouygues Telecom </w:t>
      </w:r>
      <w:r>
        <w:rPr>
          <w:rFonts w:ascii="Arial" w:eastAsia="Times New Roman" w:hAnsi="Arial" w:cs="Arial"/>
          <w:b/>
          <w:bCs/>
          <w:sz w:val="32"/>
          <w:szCs w:val="32"/>
        </w:rPr>
        <w:t xml:space="preserve">Upgrades </w:t>
      </w:r>
      <w:r>
        <w:rPr>
          <w:rFonts w:ascii="Arial" w:eastAsia="Times New Roman" w:hAnsi="Arial" w:cs="Arial"/>
          <w:b/>
          <w:bCs/>
          <w:sz w:val="32"/>
          <w:szCs w:val="32"/>
        </w:rPr>
        <w:t xml:space="preserve">Automated Testing Capabilities </w:t>
      </w:r>
      <w:r>
        <w:rPr>
          <w:rFonts w:ascii="Arial" w:eastAsia="Times New Roman" w:hAnsi="Arial" w:cs="Arial"/>
          <w:b/>
          <w:bCs/>
          <w:sz w:val="32"/>
          <w:szCs w:val="32"/>
        </w:rPr>
        <w:t>W</w:t>
      </w:r>
      <w:r>
        <w:rPr>
          <w:rFonts w:ascii="Arial" w:eastAsia="Times New Roman" w:hAnsi="Arial" w:cs="Arial"/>
          <w:b/>
          <w:bCs/>
          <w:sz w:val="32"/>
          <w:szCs w:val="32"/>
        </w:rPr>
        <w:t xml:space="preserve">ith </w:t>
      </w:r>
      <w:r>
        <w:rPr>
          <w:rFonts w:ascii="Arial" w:eastAsia="Times New Roman" w:hAnsi="Arial" w:cs="Arial"/>
          <w:b/>
          <w:bCs/>
          <w:sz w:val="32"/>
          <w:szCs w:val="32"/>
        </w:rPr>
        <w:t xml:space="preserve">Witbe’s </w:t>
      </w:r>
      <w:r>
        <w:rPr>
          <w:rFonts w:ascii="Arial" w:eastAsia="Times New Roman" w:hAnsi="Arial" w:cs="Arial"/>
          <w:b/>
          <w:bCs/>
          <w:sz w:val="32"/>
          <w:szCs w:val="32"/>
        </w:rPr>
        <w:t>Witbox</w:t>
      </w:r>
      <w:r>
        <w:rPr>
          <w:rFonts w:ascii="Arial" w:eastAsia="Times New Roman" w:hAnsi="Arial" w:cs="Arial"/>
          <w:b/>
          <w:bCs/>
          <w:sz w:val="32"/>
          <w:szCs w:val="32"/>
          <w:vertAlign w:val="superscript"/>
        </w:rPr>
        <w:t>+</w:t>
      </w:r>
      <w:r>
        <w:rPr>
          <w:rFonts w:ascii="Arial" w:eastAsia="Times New Roman" w:hAnsi="Arial" w:cs="Arial"/>
          <w:b/>
          <w:bCs/>
          <w:sz w:val="32"/>
          <w:szCs w:val="32"/>
        </w:rPr>
        <w:t xml:space="preserve"> Technology</w:t>
      </w:r>
    </w:p>
    <w:p w14:paraId="422232C8" w14:textId="77777777">
      <w:pPr>
        <w:jc w:val="center"/>
        <w:textAlignment w:val="baseline"/>
        <w:rPr>
          <w:rFonts w:ascii="Arial" w:eastAsia="Times New Roman" w:hAnsi="Arial" w:cs="Arial"/>
          <w:b/>
          <w:bCs/>
          <w:i/>
          <w:iCs/>
          <w:sz w:val="24"/>
        </w:rPr>
      </w:pPr>
    </w:p>
    <w:p w14:paraId="4E7DC73B" w14:textId="317C3EB7">
      <w:pPr>
        <w:jc w:val="center"/>
        <w:textAlignment w:val="baseline"/>
        <w:rPr>
          <w:rFonts w:ascii="Arial" w:eastAsia="Times New Roman" w:hAnsi="Arial" w:cs="Arial"/>
          <w:b/>
          <w:bCs/>
          <w:i/>
          <w:iCs/>
          <w:sz w:val="24"/>
        </w:rPr>
      </w:pPr>
      <w:r>
        <w:rPr>
          <w:rFonts w:ascii="Arial" w:eastAsia="Times New Roman" w:hAnsi="Arial" w:cs="Arial"/>
          <w:b/>
          <w:bCs/>
          <w:i/>
          <w:iCs/>
          <w:sz w:val="24"/>
        </w:rPr>
        <w:t xml:space="preserve">Witbe’s </w:t>
      </w:r>
      <w:r>
        <w:rPr>
          <w:rFonts w:ascii="Arial" w:eastAsia="Times New Roman" w:hAnsi="Arial" w:cs="Arial"/>
          <w:b/>
          <w:bCs/>
          <w:i/>
          <w:iCs/>
          <w:sz w:val="24"/>
        </w:rPr>
        <w:t xml:space="preserve">Cutting-Edge </w:t>
      </w:r>
      <w:r>
        <w:rPr>
          <w:rFonts w:ascii="Arial" w:eastAsia="Times New Roman" w:hAnsi="Arial" w:cs="Arial"/>
          <w:b/>
          <w:bCs/>
          <w:i/>
          <w:iCs/>
          <w:sz w:val="24"/>
        </w:rPr>
        <w:t xml:space="preserve">Technology </w:t>
      </w:r>
      <w:r>
        <w:rPr>
          <w:rFonts w:ascii="Arial" w:eastAsia="Times New Roman" w:hAnsi="Arial" w:cs="Arial"/>
          <w:b/>
          <w:bCs/>
          <w:i/>
          <w:iCs/>
          <w:sz w:val="24"/>
        </w:rPr>
        <w:t>Enables a</w:t>
      </w:r>
      <w:r>
        <w:rPr>
          <w:rFonts w:ascii="Arial" w:eastAsia="Times New Roman" w:hAnsi="Arial" w:cs="Arial"/>
          <w:b/>
          <w:bCs/>
          <w:i/>
          <w:iCs/>
          <w:sz w:val="24"/>
        </w:rPr>
        <w:t xml:space="preserve"> </w:t>
      </w:r>
      <w:r>
        <w:rPr>
          <w:rFonts w:ascii="Arial" w:eastAsia="Times New Roman" w:hAnsi="Arial" w:cs="Arial"/>
          <w:b/>
          <w:bCs/>
          <w:i/>
          <w:iCs/>
          <w:sz w:val="24"/>
        </w:rPr>
        <w:t>Superior</w:t>
      </w:r>
      <w:r>
        <w:rPr>
          <w:rFonts w:ascii="Arial" w:eastAsia="Times New Roman" w:hAnsi="Arial" w:cs="Arial"/>
          <w:b/>
          <w:bCs/>
          <w:i/>
          <w:iCs/>
          <w:sz w:val="24"/>
        </w:rPr>
        <w:t xml:space="preserve"> Quality of Experience</w:t>
      </w:r>
      <w:r>
        <w:rPr>
          <w:rFonts w:ascii="Arial" w:eastAsia="Times New Roman" w:hAnsi="Arial" w:cs="Arial"/>
          <w:b/>
          <w:bCs/>
          <w:i/>
          <w:iCs/>
          <w:sz w:val="24"/>
        </w:rPr>
        <w:t xml:space="preserve"> for Video Services</w:t>
      </w:r>
      <w:r>
        <w:rPr>
          <w:rFonts w:ascii="Arial" w:eastAsia="Times New Roman" w:hAnsi="Arial" w:cs="Arial"/>
          <w:b/>
          <w:bCs/>
          <w:i/>
          <w:iCs/>
          <w:sz w:val="24"/>
        </w:rPr>
        <w:t xml:space="preserve"> on Set-Top Boxes, Smart TVs, and Streaming Media Devices</w:t>
      </w:r>
    </w:p>
    <w:p w14:paraId="54AE580D" w14:textId="72A662D0">
      <w:pPr>
        <w:jc w:val="center"/>
        <w:textAlignment w:val="baseline"/>
        <w:rPr>
          <w:rFonts w:ascii="Arial" w:eastAsia="Times New Roman" w:hAnsi="Arial" w:cs="Arial"/>
          <w:b/>
          <w:bCs/>
          <w:i/>
          <w:iCs/>
          <w:sz w:val="24"/>
        </w:rPr>
      </w:pPr>
      <w:r>
        <w:rPr>
          <w:rFonts w:ascii="Arial" w:eastAsia="Times New Roman" w:hAnsi="Arial" w:cs="Arial"/>
          <w:sz w:val="32"/>
          <w:szCs w:val="32"/>
        </w:rPr>
        <w:t> </w:t>
      </w:r>
    </w:p>
    <w:p w14:paraId="0062FA6F" w14:textId="5A8FC581">
      <w:pPr>
        <w:spacing w:line="360" w:lineRule="auto"/>
        <w:textAlignment w:val="baseline"/>
        <w:rPr>
          <w:rFonts w:ascii="Arial" w:eastAsia="Times New Roman" w:hAnsi="Arial" w:cs="Arial"/>
        </w:rPr>
      </w:pPr>
      <w:r>
        <w:rPr>
          <w:rFonts w:ascii="Arial" w:eastAsia="Times New Roman" w:hAnsi="Arial" w:cs="Arial"/>
          <w:b/>
          <w:bCs/>
        </w:rPr>
        <w:t>PARIS</w:t>
      </w:r>
      <w:r>
        <w:rPr>
          <w:rFonts w:ascii="Arial" w:eastAsia="Times New Roman" w:hAnsi="Arial" w:cs="Arial"/>
          <w:b/>
          <w:bCs/>
        </w:rPr>
        <w:t xml:space="preserve"> </w:t>
      </w:r>
      <w:r>
        <w:rPr>
          <w:rFonts w:ascii="Arial" w:eastAsia="Times New Roman" w:hAnsi="Arial" w:cs="Arial"/>
          <w:b/>
          <w:bCs/>
        </w:rPr>
        <w:t>—</w:t>
      </w:r>
      <w:r>
        <w:rPr>
          <w:rFonts w:ascii="Arial" w:eastAsia="Times New Roman" w:hAnsi="Arial" w:cs="Arial"/>
          <w:b/>
          <w:bCs/>
        </w:rPr>
        <w:t xml:space="preserve"> </w:t>
      </w:r>
      <w:r>
        <w:rPr>
          <w:rFonts w:ascii="Arial" w:eastAsia="Times New Roman" w:hAnsi="Arial" w:cs="Arial"/>
          <w:b/>
          <w:bCs/>
        </w:rPr>
        <w:t xml:space="preserve">Sept. </w:t>
      </w:r>
      <w:r>
        <w:rPr>
          <w:rFonts w:ascii="Arial" w:eastAsia="Times New Roman" w:hAnsi="Arial" w:cs="Arial"/>
          <w:b/>
          <w:bCs/>
        </w:rPr>
        <w:t xml:space="preserve">26, </w:t>
      </w:r>
      <w:r>
        <w:rPr>
          <w:rFonts w:ascii="Arial" w:eastAsia="Times New Roman" w:hAnsi="Arial" w:cs="Arial"/>
          <w:b/>
          <w:bCs/>
        </w:rPr>
        <w:t>202</w:t>
      </w:r>
      <w:r>
        <w:rPr>
          <w:rFonts w:ascii="Arial" w:eastAsia="Times New Roman" w:hAnsi="Arial" w:cs="Arial"/>
          <w:b/>
          <w:bCs/>
        </w:rPr>
        <w:t>4</w:t>
      </w:r>
      <w:r>
        <w:rPr>
          <w:rFonts w:ascii="Arial" w:eastAsia="Times New Roman" w:hAnsi="Arial" w:cs="Arial"/>
        </w:rPr>
        <w:t xml:space="preserve"> </w:t>
      </w:r>
      <w:r>
        <w:rPr>
          <w:rFonts w:ascii="Arial" w:eastAsia="Times New Roman" w:hAnsi="Arial" w:cs="Arial"/>
          <w:b/>
          <w:bCs/>
        </w:rPr>
        <w:t>—</w:t>
      </w:r>
      <w:r>
        <w:rPr>
          <w:rFonts w:ascii="Arial" w:eastAsia="Times New Roman" w:hAnsi="Arial" w:cs="Arial"/>
          <w:b/>
          <w:bCs/>
        </w:rPr>
        <w:t xml:space="preserve"> </w:t>
      </w:r>
      <w:r>
        <w:rPr>
          <w:rFonts w:ascii="Arial" w:eastAsia="Times New Roman" w:hAnsi="Arial" w:cs="Arial"/>
        </w:rPr>
        <w:t>Witbe</w:t>
      </w:r>
      <w:r>
        <w:rPr>
          <w:rFonts w:ascii="Arial" w:eastAsia="Times New Roman" w:hAnsi="Arial" w:cs="Arial"/>
        </w:rPr>
        <w:t xml:space="preserve"> </w:t>
      </w:r>
      <w:r>
        <w:rPr>
          <w:rFonts w:ascii="Arial" w:eastAsia="Times New Roman" w:hAnsi="Arial" w:cs="Arial"/>
        </w:rPr>
        <w:t>(Euronext Growth – FR0013143872 – ALWIT)</w:t>
      </w:r>
      <w:r>
        <w:rPr>
          <w:rFonts w:ascii="Arial" w:eastAsia="Times New Roman" w:hAnsi="Arial" w:cs="Arial"/>
        </w:rPr>
        <w:t>,</w:t>
      </w:r>
      <w:r>
        <w:rPr>
          <w:rFonts w:ascii="Arial" w:eastAsia="Times New Roman" w:hAnsi="Arial" w:cs="Arial"/>
        </w:rPr>
        <w:t xml:space="preserve"> </w:t>
      </w:r>
      <w:r>
        <w:rPr>
          <w:rFonts w:ascii="Arial" w:eastAsia="Times New Roman" w:hAnsi="Arial" w:cs="Arial"/>
        </w:rPr>
        <w:t>a global</w:t>
      </w:r>
      <w:r>
        <w:rPr>
          <w:rFonts w:ascii="Arial" w:eastAsia="Times New Roman" w:hAnsi="Arial" w:cs="Arial"/>
        </w:rPr>
        <w:t xml:space="preserve"> </w:t>
      </w:r>
      <w:r>
        <w:rPr>
          <w:rFonts w:ascii="Arial" w:eastAsia="Times New Roman" w:hAnsi="Arial" w:cs="Arial"/>
        </w:rPr>
        <w:t>leader in test automation and monitoring technology for video service providers, today announced</w:t>
      </w:r>
      <w:r>
        <w:rPr>
          <w:rFonts w:ascii="Arial" w:eastAsia="Times New Roman" w:hAnsi="Arial" w:cs="Arial"/>
        </w:rPr>
        <w:t xml:space="preserve"> </w:t>
      </w:r>
      <w:r>
        <w:rPr>
          <w:rFonts w:ascii="Arial" w:eastAsia="Times New Roman" w:hAnsi="Arial" w:cs="Arial"/>
        </w:rPr>
        <w:t xml:space="preserve">that </w:t>
      </w:r>
      <w:r>
        <w:rPr>
          <w:rFonts w:ascii="Arial" w:eastAsia="Times New Roman" w:hAnsi="Arial" w:cs="Arial"/>
        </w:rPr>
        <w:t xml:space="preserve">French operator </w:t>
      </w:r>
      <w:r>
        <w:rPr>
          <w:rFonts w:ascii="Arial" w:eastAsia="Times New Roman" w:hAnsi="Arial" w:cs="Arial"/>
        </w:rPr>
        <w:t xml:space="preserve">Bouygues Telecom is strengthening its long-running partnership with the company by upgrading </w:t>
      </w:r>
      <w:r>
        <w:rPr>
          <w:rFonts w:ascii="Arial" w:eastAsia="Times New Roman" w:hAnsi="Arial" w:cs="Arial"/>
        </w:rPr>
        <w:t>its</w:t>
      </w:r>
      <w:r>
        <w:rPr>
          <w:rFonts w:ascii="Arial" w:eastAsia="Times New Roman" w:hAnsi="Arial" w:cs="Arial"/>
        </w:rPr>
        <w:t xml:space="preserve"> QA testing equipment to the latest </w:t>
      </w:r>
      <w:r>
        <w:rPr>
          <w:rFonts w:ascii="Arial" w:eastAsia="Times New Roman" w:hAnsi="Arial" w:cs="Arial"/>
        </w:rPr>
        <w:t xml:space="preserve">powerful </w:t>
      </w:r>
      <w:r>
        <w:rPr>
          <w:rFonts w:ascii="Arial" w:eastAsia="Times New Roman" w:hAnsi="Arial" w:cs="Arial"/>
        </w:rPr>
        <w:t>models of the Witbox</w:t>
      </w:r>
      <w:r>
        <w:rPr>
          <w:rFonts w:ascii="Arial" w:eastAsia="Times New Roman" w:hAnsi="Arial" w:cs="Arial"/>
          <w:vertAlign w:val="superscript"/>
        </w:rPr>
        <w:t>+</w:t>
      </w:r>
      <w:r>
        <w:rPr>
          <w:rFonts w:ascii="Arial" w:eastAsia="Times New Roman" w:hAnsi="Arial" w:cs="Arial"/>
        </w:rPr>
        <w:t xml:space="preserve">. Bouygues Telecom </w:t>
      </w:r>
      <w:r>
        <w:rPr>
          <w:rFonts w:ascii="Arial" w:eastAsia="Times New Roman" w:hAnsi="Arial" w:cs="Arial"/>
        </w:rPr>
        <w:t xml:space="preserve">is </w:t>
      </w:r>
      <w:r>
        <w:rPr>
          <w:rFonts w:ascii="Arial" w:eastAsia="Times New Roman" w:hAnsi="Arial" w:cs="Arial"/>
        </w:rPr>
        <w:t>utiliz</w:t>
      </w:r>
      <w:r>
        <w:rPr>
          <w:rFonts w:ascii="Arial" w:eastAsia="Times New Roman" w:hAnsi="Arial" w:cs="Arial"/>
        </w:rPr>
        <w:t>ing</w:t>
      </w:r>
      <w:r>
        <w:rPr>
          <w:rFonts w:ascii="Arial" w:eastAsia="Times New Roman" w:hAnsi="Arial" w:cs="Arial"/>
        </w:rPr>
        <w:t xml:space="preserve"> Witbe’s new technology to deliver</w:t>
      </w:r>
      <w:r>
        <w:rPr>
          <w:rFonts w:ascii="Arial" w:eastAsia="Times New Roman" w:hAnsi="Arial" w:cs="Arial"/>
        </w:rPr>
        <w:t xml:space="preserve"> video services </w:t>
      </w:r>
      <w:r>
        <w:rPr>
          <w:rFonts w:ascii="Arial" w:eastAsia="Times New Roman" w:hAnsi="Arial" w:cs="Arial"/>
        </w:rPr>
        <w:t xml:space="preserve">more efficiently, </w:t>
      </w:r>
      <w:r>
        <w:rPr>
          <w:rFonts w:ascii="Arial" w:eastAsia="Times New Roman" w:hAnsi="Arial" w:cs="Arial"/>
        </w:rPr>
        <w:t>with</w:t>
      </w:r>
      <w:r>
        <w:rPr>
          <w:rFonts w:ascii="Arial" w:eastAsia="Times New Roman" w:hAnsi="Arial" w:cs="Arial"/>
        </w:rPr>
        <w:t xml:space="preserve"> </w:t>
      </w:r>
      <w:r>
        <w:rPr>
          <w:rFonts w:ascii="Arial" w:eastAsia="Times New Roman" w:hAnsi="Arial" w:cs="Arial"/>
        </w:rPr>
        <w:t>a superior</w:t>
      </w:r>
      <w:r>
        <w:rPr>
          <w:rFonts w:ascii="Arial" w:eastAsia="Times New Roman" w:hAnsi="Arial" w:cs="Arial"/>
        </w:rPr>
        <w:t xml:space="preserve"> quality of experience (QoE) </w:t>
      </w:r>
      <w:r>
        <w:rPr>
          <w:rFonts w:ascii="Arial" w:eastAsia="Times New Roman" w:hAnsi="Arial" w:cs="Arial"/>
        </w:rPr>
        <w:t>for</w:t>
      </w:r>
      <w:r>
        <w:rPr>
          <w:rFonts w:ascii="Arial" w:eastAsia="Times New Roman" w:hAnsi="Arial" w:cs="Arial"/>
        </w:rPr>
        <w:t xml:space="preserve"> viewers.</w:t>
      </w:r>
    </w:p>
    <w:p w14:paraId="4D38BA07" w14:textId="77777777">
      <w:pPr>
        <w:spacing w:line="360" w:lineRule="auto"/>
        <w:rPr>
          <w:rFonts w:ascii="Arial" w:hAnsi="Arial" w:cs="Arial"/>
        </w:rPr>
      </w:pPr>
    </w:p>
    <w:p w14:paraId="5D4D00C3" w14:textId="5898DCEC">
      <w:pPr>
        <w:spacing w:line="360" w:lineRule="auto"/>
        <w:rPr>
          <w:rFonts w:ascii="Arial" w:hAnsi="Arial" w:cs="Arial"/>
        </w:rPr>
      </w:pPr>
      <w:r>
        <w:rPr>
          <w:rFonts w:ascii="Arial" w:hAnsi="Arial" w:cs="Arial"/>
        </w:rPr>
        <w:t>“</w:t>
      </w:r>
      <w:r>
        <w:rPr>
          <w:rFonts w:ascii="Arial" w:hAnsi="Arial" w:cs="Arial"/>
        </w:rPr>
        <w:t>Witbe</w:t>
      </w:r>
      <w:r>
        <w:rPr>
          <w:rFonts w:ascii="Arial" w:hAnsi="Arial" w:cs="Arial"/>
        </w:rPr>
        <w:t>’s</w:t>
      </w:r>
      <w:r>
        <w:rPr>
          <w:rFonts w:ascii="Arial" w:hAnsi="Arial" w:cs="Arial"/>
        </w:rPr>
        <w:t xml:space="preserve"> technology allows us to detect issues in the lab before they appear in production, optimiz</w:t>
      </w:r>
      <w:r>
        <w:rPr>
          <w:rFonts w:ascii="Arial" w:hAnsi="Arial" w:cs="Arial"/>
        </w:rPr>
        <w:t>ing</w:t>
      </w:r>
      <w:r>
        <w:rPr>
          <w:rFonts w:ascii="Arial" w:hAnsi="Arial" w:cs="Arial"/>
        </w:rPr>
        <w:t xml:space="preserve"> our time</w:t>
      </w:r>
      <w:r>
        <w:rPr>
          <w:rFonts w:ascii="Arial" w:hAnsi="Arial" w:cs="Arial"/>
        </w:rPr>
        <w:t xml:space="preserve"> </w:t>
      </w:r>
      <w:r>
        <w:rPr>
          <w:rFonts w:ascii="Arial" w:hAnsi="Arial" w:cs="Arial"/>
        </w:rPr>
        <w:t>to</w:t>
      </w:r>
      <w:r>
        <w:rPr>
          <w:rFonts w:ascii="Arial" w:hAnsi="Arial" w:cs="Arial"/>
        </w:rPr>
        <w:t xml:space="preserve"> </w:t>
      </w:r>
      <w:r>
        <w:rPr>
          <w:rFonts w:ascii="Arial" w:hAnsi="Arial" w:cs="Arial"/>
        </w:rPr>
        <w:t>market and ensur</w:t>
      </w:r>
      <w:r>
        <w:rPr>
          <w:rFonts w:ascii="Arial" w:hAnsi="Arial" w:cs="Arial"/>
        </w:rPr>
        <w:t>ing</w:t>
      </w:r>
      <w:r>
        <w:rPr>
          <w:rFonts w:ascii="Arial" w:hAnsi="Arial" w:cs="Arial"/>
        </w:rPr>
        <w:t xml:space="preserve"> the best possible quality of experience </w:t>
      </w:r>
      <w:r>
        <w:rPr>
          <w:rFonts w:ascii="Arial" w:hAnsi="Arial" w:cs="Arial"/>
        </w:rPr>
        <w:t>is delivered to</w:t>
      </w:r>
      <w:r>
        <w:rPr>
          <w:rFonts w:ascii="Arial" w:hAnsi="Arial" w:cs="Arial"/>
        </w:rPr>
        <w:t xml:space="preserve"> our customers,</w:t>
      </w:r>
      <w:r>
        <w:rPr>
          <w:rFonts w:ascii="Arial" w:hAnsi="Arial" w:cs="Arial"/>
        </w:rPr>
        <w:t>”</w:t>
      </w:r>
      <w:r>
        <w:rPr>
          <w:rFonts w:ascii="Arial" w:hAnsi="Arial" w:cs="Arial"/>
        </w:rPr>
        <w:t xml:space="preserve"> said Loubna Hamdoun, </w:t>
      </w:r>
      <w:r>
        <w:rPr>
          <w:rFonts w:ascii="Arial" w:hAnsi="Arial" w:cs="Arial"/>
        </w:rPr>
        <w:t>h</w:t>
      </w:r>
      <w:r>
        <w:rPr>
          <w:rFonts w:ascii="Arial" w:hAnsi="Arial" w:cs="Arial"/>
        </w:rPr>
        <w:t xml:space="preserve">ead of </w:t>
      </w:r>
      <w:r>
        <w:rPr>
          <w:rFonts w:ascii="Arial" w:hAnsi="Arial" w:cs="Arial"/>
        </w:rPr>
        <w:t>p</w:t>
      </w:r>
      <w:r>
        <w:rPr>
          <w:rFonts w:ascii="Arial" w:hAnsi="Arial" w:cs="Arial"/>
        </w:rPr>
        <w:t xml:space="preserve">roduct and </w:t>
      </w:r>
      <w:r>
        <w:rPr>
          <w:rFonts w:ascii="Arial" w:hAnsi="Arial" w:cs="Arial"/>
        </w:rPr>
        <w:t>s</w:t>
      </w:r>
      <w:r>
        <w:rPr>
          <w:rFonts w:ascii="Arial" w:hAnsi="Arial" w:cs="Arial"/>
        </w:rPr>
        <w:t xml:space="preserve">ervice </w:t>
      </w:r>
      <w:r>
        <w:rPr>
          <w:rFonts w:ascii="Arial" w:hAnsi="Arial" w:cs="Arial"/>
        </w:rPr>
        <w:t>i</w:t>
      </w:r>
      <w:r>
        <w:rPr>
          <w:rFonts w:ascii="Arial" w:hAnsi="Arial" w:cs="Arial"/>
        </w:rPr>
        <w:t xml:space="preserve">ntegration and </w:t>
      </w:r>
      <w:r>
        <w:rPr>
          <w:rFonts w:ascii="Arial" w:hAnsi="Arial" w:cs="Arial"/>
        </w:rPr>
        <w:t>v</w:t>
      </w:r>
      <w:r>
        <w:rPr>
          <w:rFonts w:ascii="Arial" w:hAnsi="Arial" w:cs="Arial"/>
        </w:rPr>
        <w:t xml:space="preserve">alidation for </w:t>
      </w:r>
      <w:r>
        <w:rPr>
          <w:rFonts w:ascii="Arial" w:hAnsi="Arial" w:cs="Arial"/>
        </w:rPr>
        <w:t>f</w:t>
      </w:r>
      <w:r>
        <w:rPr>
          <w:rFonts w:ascii="Arial" w:hAnsi="Arial" w:cs="Arial"/>
        </w:rPr>
        <w:t xml:space="preserve">ixed </w:t>
      </w:r>
      <w:r>
        <w:rPr>
          <w:rFonts w:ascii="Arial" w:hAnsi="Arial" w:cs="Arial"/>
        </w:rPr>
        <w:t>s</w:t>
      </w:r>
      <w:r>
        <w:rPr>
          <w:rFonts w:ascii="Arial" w:hAnsi="Arial" w:cs="Arial"/>
        </w:rPr>
        <w:t xml:space="preserve">ervices </w:t>
      </w:r>
      <w:r>
        <w:rPr>
          <w:rFonts w:ascii="Arial" w:hAnsi="Arial" w:cs="Arial"/>
        </w:rPr>
        <w:t>at Bouygues Telecom.</w:t>
      </w:r>
    </w:p>
    <w:p w14:paraId="637FB12E" w14:textId="77777777">
      <w:pPr>
        <w:spacing w:line="360" w:lineRule="auto"/>
        <w:rPr>
          <w:rFonts w:ascii="Arial" w:hAnsi="Arial" w:cs="Arial"/>
        </w:rPr>
      </w:pPr>
    </w:p>
    <w:p w14:paraId="4EE12269" w14:textId="04FA9E6A">
      <w:pPr>
        <w:spacing w:line="360" w:lineRule="auto"/>
        <w:rPr>
          <w:rFonts w:ascii="Arial" w:hAnsi="Arial" w:cs="Arial"/>
        </w:rPr>
      </w:pPr>
      <w:r>
        <w:rPr>
          <w:rFonts w:ascii="Arial" w:hAnsi="Arial" w:cs="Arial"/>
        </w:rPr>
        <w:t xml:space="preserve">Bouygues Telecom has been </w:t>
      </w:r>
      <w:r>
        <w:rPr>
          <w:rFonts w:ascii="Arial" w:hAnsi="Arial" w:cs="Arial"/>
        </w:rPr>
        <w:t xml:space="preserve">using </w:t>
      </w:r>
      <w:r>
        <w:rPr>
          <w:rFonts w:ascii="Arial" w:hAnsi="Arial" w:cs="Arial"/>
        </w:rPr>
        <w:t xml:space="preserve">Witbe’s technology since </w:t>
      </w:r>
      <w:r>
        <w:rPr>
          <w:rFonts w:ascii="Arial" w:hAnsi="Arial" w:cs="Arial"/>
        </w:rPr>
        <w:t>2018 and</w:t>
      </w:r>
      <w:r>
        <w:rPr>
          <w:rFonts w:ascii="Arial" w:hAnsi="Arial" w:cs="Arial"/>
        </w:rPr>
        <w:t xml:space="preserve"> is now supplied with the latest cutting-edge version of the Witbox</w:t>
      </w:r>
      <w:r>
        <w:rPr>
          <w:rFonts w:ascii="Arial" w:hAnsi="Arial" w:cs="Arial"/>
          <w:vertAlign w:val="superscript"/>
        </w:rPr>
        <w:t>+</w:t>
      </w:r>
      <w:r>
        <w:rPr>
          <w:rFonts w:ascii="Arial" w:hAnsi="Arial" w:cs="Arial"/>
        </w:rPr>
        <w:t xml:space="preserve"> hardware and Witbe Software Suite technology. </w:t>
      </w:r>
      <w:r>
        <w:rPr>
          <w:rFonts w:ascii="Arial" w:hAnsi="Arial" w:cs="Arial"/>
        </w:rPr>
        <w:t>I</w:t>
      </w:r>
      <w:r>
        <w:rPr>
          <w:rFonts w:ascii="Arial" w:hAnsi="Arial" w:cs="Arial"/>
        </w:rPr>
        <w:t>ntegrating the Witbox</w:t>
      </w:r>
      <w:r>
        <w:rPr>
          <w:rFonts w:ascii="Arial" w:hAnsi="Arial" w:cs="Arial"/>
          <w:vertAlign w:val="superscript"/>
        </w:rPr>
        <w:t>+</w:t>
      </w:r>
      <w:r>
        <w:rPr>
          <w:rFonts w:ascii="Arial" w:hAnsi="Arial" w:cs="Arial"/>
        </w:rPr>
        <w:t>’s automated testing technology significantly increase</w:t>
      </w:r>
      <w:r>
        <w:rPr>
          <w:rFonts w:ascii="Arial" w:hAnsi="Arial" w:cs="Arial"/>
        </w:rPr>
        <w:t>s Bouygues Telecom’s q</w:t>
      </w:r>
      <w:r>
        <w:rPr>
          <w:rFonts w:ascii="Arial" w:hAnsi="Arial" w:cs="Arial"/>
        </w:rPr>
        <w:t xml:space="preserve">uality </w:t>
      </w:r>
      <w:r>
        <w:rPr>
          <w:rFonts w:ascii="Arial" w:hAnsi="Arial" w:cs="Arial"/>
        </w:rPr>
        <w:t>a</w:t>
      </w:r>
      <w:r>
        <w:rPr>
          <w:rFonts w:ascii="Arial" w:hAnsi="Arial" w:cs="Arial"/>
        </w:rPr>
        <w:t>ssurance</w:t>
      </w:r>
      <w:r>
        <w:rPr>
          <w:rFonts w:ascii="Arial" w:hAnsi="Arial" w:cs="Arial"/>
        </w:rPr>
        <w:t xml:space="preserve"> capabilities for video app</w:t>
      </w:r>
      <w:r>
        <w:rPr>
          <w:rFonts w:ascii="Arial" w:hAnsi="Arial" w:cs="Arial"/>
        </w:rPr>
        <w:t xml:space="preserve"> performance on set-top boxes (STB</w:t>
      </w:r>
      <w:r>
        <w:rPr>
          <w:rFonts w:ascii="Arial" w:hAnsi="Arial" w:cs="Arial"/>
        </w:rPr>
        <w:t>s</w:t>
      </w:r>
      <w:r>
        <w:rPr>
          <w:rFonts w:ascii="Arial" w:hAnsi="Arial" w:cs="Arial"/>
        </w:rPr>
        <w:t xml:space="preserve">), smart TVs, and HDMI-connected streaming media devices. </w:t>
      </w:r>
    </w:p>
    <w:p w14:paraId="726E862D" w14:textId="77777777">
      <w:pPr>
        <w:spacing w:line="360" w:lineRule="auto"/>
        <w:rPr>
          <w:rFonts w:ascii="Arial" w:hAnsi="Arial" w:cs="Arial"/>
        </w:rPr>
      </w:pPr>
    </w:p>
    <w:p w14:paraId="06E26734" w14:textId="7804A6AF">
      <w:pPr>
        <w:spacing w:line="360" w:lineRule="auto"/>
        <w:rPr>
          <w:rFonts w:ascii="Arial" w:hAnsi="Arial" w:cs="Arial"/>
        </w:rPr>
      </w:pPr>
      <w:r>
        <w:rPr>
          <w:rFonts w:ascii="Arial" w:hAnsi="Arial" w:cs="Arial"/>
        </w:rPr>
        <w:t>The Witbox</w:t>
      </w:r>
      <w:r>
        <w:rPr>
          <w:rFonts w:ascii="Arial" w:hAnsi="Arial" w:cs="Arial"/>
          <w:vertAlign w:val="superscript"/>
        </w:rPr>
        <w:t>+</w:t>
      </w:r>
      <w:r>
        <w:rPr>
          <w:rFonts w:ascii="Arial" w:hAnsi="Arial" w:cs="Arial"/>
        </w:rPr>
        <w:t xml:space="preserve"> boosts Bouygues Telecom’s testing and monitoring capabilities by allowing team members to easily script new test scenarios, automate complex performance testing, reduce </w:t>
      </w:r>
      <w:r>
        <w:rPr>
          <w:rFonts w:ascii="Arial" w:hAnsi="Arial" w:cs="Arial"/>
        </w:rPr>
        <w:t>test scenario</w:t>
      </w:r>
      <w:r>
        <w:rPr>
          <w:rFonts w:ascii="Arial" w:hAnsi="Arial" w:cs="Arial"/>
        </w:rPr>
        <w:t xml:space="preserve"> maintenance with the help of AI algorithms, </w:t>
      </w:r>
      <w:r>
        <w:rPr>
          <w:rFonts w:ascii="Arial" w:hAnsi="Arial" w:cs="Arial"/>
        </w:rPr>
        <w:t xml:space="preserve">quickly test 4K assets, and analyze </w:t>
      </w:r>
      <w:r>
        <w:rPr>
          <w:rFonts w:ascii="Arial" w:hAnsi="Arial" w:cs="Arial"/>
        </w:rPr>
        <w:t xml:space="preserve">all </w:t>
      </w:r>
      <w:r>
        <w:rPr>
          <w:rFonts w:ascii="Arial" w:hAnsi="Arial" w:cs="Arial"/>
        </w:rPr>
        <w:t xml:space="preserve">test results through streamlined reports on </w:t>
      </w:r>
      <w:r>
        <w:rPr>
          <w:rFonts w:ascii="Arial" w:hAnsi="Arial" w:cs="Arial"/>
        </w:rPr>
        <w:t xml:space="preserve">Witbe’s </w:t>
      </w:r>
      <w:r>
        <w:rPr>
          <w:rFonts w:ascii="Arial" w:hAnsi="Arial" w:cs="Arial"/>
        </w:rPr>
        <w:t>Smartgate observability platform. The Witbox</w:t>
      </w:r>
      <w:r>
        <w:rPr>
          <w:rFonts w:ascii="Arial" w:hAnsi="Arial" w:cs="Arial"/>
          <w:vertAlign w:val="superscript"/>
        </w:rPr>
        <w:t>+</w:t>
      </w:r>
      <w:r>
        <w:rPr>
          <w:rFonts w:ascii="Arial" w:hAnsi="Arial" w:cs="Arial"/>
        </w:rPr>
        <w:t xml:space="preserve"> can power through automated tests that </w:t>
      </w:r>
      <w:r>
        <w:rPr>
          <w:rFonts w:ascii="Arial" w:hAnsi="Arial" w:cs="Arial"/>
        </w:rPr>
        <w:t>are</w:t>
      </w:r>
      <w:r>
        <w:rPr>
          <w:rFonts w:ascii="Arial" w:hAnsi="Arial" w:cs="Arial"/>
        </w:rPr>
        <w:t xml:space="preserve"> impossible to perform manually, such as changing a channel thousands of times, continually restarting STB</w:t>
      </w:r>
      <w:r>
        <w:rPr>
          <w:rFonts w:ascii="Arial" w:hAnsi="Arial" w:cs="Arial"/>
        </w:rPr>
        <w:t>s</w:t>
      </w:r>
      <w:r>
        <w:rPr>
          <w:rFonts w:ascii="Arial" w:hAnsi="Arial" w:cs="Arial"/>
        </w:rPr>
        <w:t xml:space="preserve">, </w:t>
      </w:r>
      <w:r>
        <w:rPr>
          <w:rFonts w:ascii="Arial" w:hAnsi="Arial" w:cs="Arial"/>
        </w:rPr>
        <w:t xml:space="preserve">or </w:t>
      </w:r>
      <w:r>
        <w:rPr>
          <w:rFonts w:ascii="Arial" w:hAnsi="Arial" w:cs="Arial"/>
        </w:rPr>
        <w:t>identifying video errors after hours of nonstop viewing.</w:t>
      </w:r>
    </w:p>
    <w:p w14:paraId="7F74F7CA" w14:textId="77777777">
      <w:pPr>
        <w:spacing w:line="360" w:lineRule="auto"/>
        <w:rPr>
          <w:rFonts w:ascii="Arial" w:hAnsi="Arial" w:cs="Arial"/>
        </w:rPr>
      </w:pPr>
    </w:p>
    <w:p w14:paraId="28461F67" w14:textId="21A07365">
      <w:pPr>
        <w:spacing w:line="360" w:lineRule="auto"/>
        <w:rPr>
          <w:rFonts w:ascii="Arial" w:hAnsi="Arial" w:cs="Arial"/>
        </w:rPr>
      </w:pPr>
      <w:r>
        <w:rPr>
          <w:rFonts w:ascii="Arial" w:hAnsi="Arial" w:cs="Arial"/>
        </w:rPr>
        <w:t>“</w:t>
      </w:r>
      <w:r>
        <w:rPr>
          <w:rFonts w:ascii="Arial" w:hAnsi="Arial" w:cs="Arial"/>
        </w:rPr>
        <w:t xml:space="preserve">We are </w:t>
      </w:r>
      <w:r>
        <w:rPr>
          <w:rFonts w:ascii="Arial" w:hAnsi="Arial" w:cs="Arial"/>
        </w:rPr>
        <w:t>very happy</w:t>
      </w:r>
      <w:r>
        <w:rPr>
          <w:rFonts w:ascii="Arial" w:hAnsi="Arial" w:cs="Arial"/>
        </w:rPr>
        <w:t xml:space="preserve"> </w:t>
      </w:r>
      <w:r>
        <w:rPr>
          <w:rFonts w:ascii="Arial" w:hAnsi="Arial" w:cs="Arial"/>
        </w:rPr>
        <w:t xml:space="preserve">to continue our partnership with Bouygues Telecom and </w:t>
      </w:r>
      <w:r>
        <w:rPr>
          <w:rFonts w:ascii="Arial" w:hAnsi="Arial" w:cs="Arial"/>
        </w:rPr>
        <w:t xml:space="preserve">help </w:t>
      </w:r>
      <w:r>
        <w:rPr>
          <w:rFonts w:ascii="Arial" w:hAnsi="Arial" w:cs="Arial"/>
        </w:rPr>
        <w:t xml:space="preserve">contribute to their </w:t>
      </w:r>
      <w:r>
        <w:rPr>
          <w:rFonts w:ascii="Arial" w:hAnsi="Arial" w:cs="Arial"/>
        </w:rPr>
        <w:t xml:space="preserve">tremendous </w:t>
      </w:r>
      <w:r>
        <w:rPr>
          <w:rFonts w:ascii="Arial" w:hAnsi="Arial" w:cs="Arial"/>
        </w:rPr>
        <w:t xml:space="preserve">success by providing </w:t>
      </w:r>
      <w:r>
        <w:rPr>
          <w:rFonts w:ascii="Arial" w:hAnsi="Arial" w:cs="Arial"/>
        </w:rPr>
        <w:t xml:space="preserve">them with </w:t>
      </w:r>
      <w:r>
        <w:rPr>
          <w:rFonts w:ascii="Arial" w:hAnsi="Arial" w:cs="Arial"/>
        </w:rPr>
        <w:t>cutting-edge video testing and monitoring</w:t>
      </w:r>
      <w:r>
        <w:rPr>
          <w:rFonts w:ascii="Arial" w:hAnsi="Arial" w:cs="Arial"/>
        </w:rPr>
        <w:t xml:space="preserve"> technology</w:t>
      </w:r>
      <w:r>
        <w:rPr>
          <w:rFonts w:ascii="Arial" w:hAnsi="Arial" w:cs="Arial"/>
        </w:rPr>
        <w:t>,”</w:t>
      </w:r>
      <w:r>
        <w:rPr>
          <w:rFonts w:ascii="Arial" w:hAnsi="Arial" w:cs="Arial"/>
        </w:rPr>
        <w:t xml:space="preserve"> </w:t>
      </w:r>
      <w:r>
        <w:rPr>
          <w:rFonts w:ascii="Arial" w:hAnsi="Arial" w:cs="Arial"/>
        </w:rPr>
        <w:t xml:space="preserve">said Marie-Véronique Lacaze, </w:t>
      </w:r>
      <w:r>
        <w:rPr>
          <w:rFonts w:ascii="Arial" w:hAnsi="Arial" w:cs="Arial"/>
        </w:rPr>
        <w:t>president and co-founder</w:t>
      </w:r>
      <w:r>
        <w:rPr>
          <w:rFonts w:ascii="Arial" w:hAnsi="Arial" w:cs="Arial"/>
        </w:rPr>
        <w:t xml:space="preserve"> of Witbe.</w:t>
      </w:r>
      <w:r>
        <w:rPr>
          <w:rFonts w:ascii="Arial" w:hAnsi="Arial" w:cs="Arial"/>
        </w:rPr>
        <w:t xml:space="preserve"> </w:t>
      </w:r>
      <w:r>
        <w:rPr>
          <w:rFonts w:ascii="Arial" w:hAnsi="Arial" w:cs="Arial"/>
        </w:rPr>
        <w:t>“</w:t>
      </w:r>
      <w:r>
        <w:rPr>
          <w:rFonts w:ascii="Arial" w:hAnsi="Arial" w:cs="Arial"/>
        </w:rPr>
        <w:t>This deployment underscores o</w:t>
      </w:r>
      <w:r>
        <w:rPr>
          <w:rFonts w:ascii="Arial" w:hAnsi="Arial" w:cs="Arial"/>
        </w:rPr>
        <w:t xml:space="preserve">ur mission to ensure that operators like Bouygues Telecom </w:t>
      </w:r>
      <w:r>
        <w:rPr>
          <w:rFonts w:ascii="Arial" w:hAnsi="Arial" w:cs="Arial"/>
        </w:rPr>
        <w:t xml:space="preserve">have reliable and innovative tools to </w:t>
      </w:r>
      <w:r>
        <w:rPr>
          <w:rFonts w:ascii="Arial" w:hAnsi="Arial" w:cs="Arial"/>
        </w:rPr>
        <w:t xml:space="preserve">deliver exceptional </w:t>
      </w:r>
      <w:r>
        <w:rPr>
          <w:rFonts w:ascii="Arial" w:hAnsi="Arial" w:cs="Arial"/>
        </w:rPr>
        <w:t>experiences to their users</w:t>
      </w:r>
      <w:r>
        <w:rPr>
          <w:rFonts w:ascii="Arial" w:hAnsi="Arial" w:cs="Arial"/>
        </w:rPr>
        <w:t>.</w:t>
      </w:r>
      <w:r>
        <w:rPr>
          <w:rFonts w:ascii="Arial" w:hAnsi="Arial" w:cs="Arial"/>
        </w:rPr>
        <w:t xml:space="preserve">” </w:t>
      </w:r>
    </w:p>
    <w:p w14:paraId="7835ADE5" w14:textId="77777777">
      <w:pPr>
        <w:spacing w:line="360" w:lineRule="auto"/>
        <w:textAlignment w:val="baseline"/>
        <w:rPr>
          <w:rFonts w:ascii="Arial" w:eastAsia="Times New Roman" w:hAnsi="Arial" w:cs="Arial"/>
        </w:rPr>
      </w:pPr>
    </w:p>
    <w:p w14:paraId="35A30E4B" w14:textId="1C51BDAE">
      <w:pPr>
        <w:spacing w:line="360" w:lineRule="auto"/>
        <w:textAlignment w:val="baseline"/>
        <w:rPr>
          <w:rFonts w:ascii="Arial" w:eastAsia="Times New Roman" w:hAnsi="Arial" w:cs="Arial"/>
          <w:szCs w:val="22"/>
        </w:rPr>
      </w:pPr>
      <w:r>
        <w:rPr>
          <w:rFonts w:ascii="Arial" w:eastAsia="Times New Roman" w:hAnsi="Arial" w:cs="Arial"/>
          <w:szCs w:val="22"/>
        </w:rPr>
        <w:t xml:space="preserve">Additional information about </w:t>
      </w:r>
      <w:r>
        <w:rPr>
          <w:rFonts w:ascii="Arial" w:eastAsia="Times New Roman" w:hAnsi="Arial" w:cs="Arial"/>
          <w:szCs w:val="22"/>
        </w:rPr>
        <w:t>the Witbox</w:t>
      </w:r>
      <w:r>
        <w:rPr>
          <w:rFonts w:ascii="Arial" w:eastAsia="Times New Roman" w:hAnsi="Arial" w:cs="Arial"/>
          <w:szCs w:val="22"/>
          <w:vertAlign w:val="superscript"/>
        </w:rPr>
        <w:t>+</w:t>
      </w:r>
      <w:r>
        <w:rPr>
          <w:rFonts w:ascii="Arial" w:eastAsia="Times New Roman" w:hAnsi="Arial" w:cs="Arial"/>
          <w:szCs w:val="22"/>
        </w:rPr>
        <w:t xml:space="preserve"> and </w:t>
      </w:r>
      <w:r>
        <w:rPr>
          <w:rFonts w:ascii="Arial" w:eastAsia="Times New Roman" w:hAnsi="Arial" w:cs="Arial"/>
          <w:szCs w:val="22"/>
        </w:rPr>
        <w:t xml:space="preserve">Witbe’s technology is available at </w:t>
      </w:r>
      <w:hyperlink r:id="rId11" w:history="1">
        <w:r>
          <w:rPr>
            <w:rStyle w:val="Hyperlink"/>
            <w:rFonts w:ascii="Arial" w:eastAsia="Times New Roman" w:hAnsi="Arial" w:cs="Arial"/>
            <w:szCs w:val="22"/>
          </w:rPr>
          <w:t>www.witbe.net</w:t>
        </w:r>
      </w:hyperlink>
      <w:r>
        <w:rPr>
          <w:rFonts w:ascii="Arial" w:eastAsia="Times New Roman" w:hAnsi="Arial" w:cs="Arial"/>
          <w:szCs w:val="22"/>
        </w:rPr>
        <w:t xml:space="preserve">. </w:t>
      </w:r>
      <w:r>
        <w:rPr>
          <w:rFonts w:ascii="Arial" w:eastAsia="Times New Roman" w:hAnsi="Arial" w:cs="Arial"/>
          <w:szCs w:val="22"/>
        </w:rPr>
        <w:t xml:space="preserve"> </w:t>
      </w:r>
    </w:p>
    <w:p w14:paraId="7D69D35A"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04F8B28F" w14:textId="176A2045">
      <w:pPr>
        <w:spacing w:line="360" w:lineRule="auto"/>
        <w:textAlignment w:val="baseline"/>
        <w:rPr>
          <w:rFonts w:ascii="Arial" w:eastAsia="Times New Roman" w:hAnsi="Arial" w:cs="Arial"/>
          <w:sz w:val="20"/>
          <w:szCs w:val="20"/>
        </w:rPr>
      </w:pPr>
    </w:p>
    <w:p w14:paraId="1F56E621" w14:textId="77777777">
      <w:pPr>
        <w:textAlignment w:val="baseline"/>
        <w:rPr>
          <w:rFonts w:ascii="Arial" w:eastAsia="Times New Roman" w:hAnsi="Arial" w:cs="Arial"/>
          <w:b/>
          <w:bCs/>
          <w:sz w:val="20"/>
          <w:szCs w:val="20"/>
        </w:rPr>
      </w:pPr>
      <w:r>
        <w:rPr>
          <w:rFonts w:ascii="Arial" w:eastAsia="Times New Roman" w:hAnsi="Arial" w:cs="Arial"/>
          <w:b/>
          <w:bCs/>
          <w:sz w:val="20"/>
          <w:szCs w:val="20"/>
        </w:rPr>
        <w:t>About Witbe (</w:t>
      </w:r>
      <w:hyperlink r:id="rId12" w:history="1">
        <w:r>
          <w:rPr>
            <w:rStyle w:val="Hyperlink"/>
            <w:rFonts w:ascii="Arial" w:eastAsia="Times New Roman" w:hAnsi="Arial" w:cs="Arial"/>
            <w:b/>
            <w:bCs/>
            <w:sz w:val="20"/>
            <w:szCs w:val="20"/>
          </w:rPr>
          <w:t>www.witbe.net</w:t>
        </w:r>
      </w:hyperlink>
      <w:r>
        <w:rPr>
          <w:rFonts w:ascii="Arial" w:eastAsia="Times New Roman" w:hAnsi="Arial" w:cs="Arial"/>
          <w:b/>
          <w:bCs/>
          <w:sz w:val="20"/>
          <w:szCs w:val="20"/>
        </w:rPr>
        <w:t>)</w:t>
      </w:r>
    </w:p>
    <w:p w14:paraId="59C62AFD" w14:textId="751A69A6">
      <w:pPr>
        <w:textAlignment w:val="baseline"/>
        <w:rPr>
          <w:rFonts w:ascii="Arial" w:eastAsia="Times New Roman" w:hAnsi="Arial" w:cs="Arial"/>
          <w:sz w:val="20"/>
          <w:szCs w:val="20"/>
        </w:rPr>
      </w:pPr>
      <w:r>
        <w:rPr>
          <w:rFonts w:ascii="Arial" w:eastAsia="Times New Roman" w:hAnsi="Arial" w:cs="Arial"/>
          <w:sz w:val="20"/>
          <w:szCs w:val="20"/>
        </w:rPr>
        <w:t xml:space="preserve">Witbe (Euronext Growth - FR0013143872 - ALWIT) makes automated testing and proactive monitoring technology for global video service providers. The company’s award-winning technology accurately measures the </w:t>
      </w:r>
      <w:r>
        <w:rPr>
          <w:rFonts w:ascii="Arial" w:eastAsia="Times New Roman" w:hAnsi="Arial" w:cs="Arial"/>
          <w:sz w:val="20"/>
          <w:szCs w:val="20"/>
        </w:rPr>
        <w:t>q</w:t>
      </w:r>
      <w:r>
        <w:rPr>
          <w:rFonts w:ascii="Arial" w:eastAsia="Times New Roman" w:hAnsi="Arial" w:cs="Arial"/>
          <w:sz w:val="20"/>
          <w:szCs w:val="20"/>
        </w:rPr>
        <w:t xml:space="preserve">uality </w:t>
      </w:r>
      <w:r>
        <w:rPr>
          <w:rFonts w:ascii="Arial" w:eastAsia="Times New Roman" w:hAnsi="Arial" w:cs="Arial"/>
          <w:sz w:val="20"/>
          <w:szCs w:val="20"/>
        </w:rPr>
        <w:t xml:space="preserve">of </w:t>
      </w:r>
      <w:r>
        <w:rPr>
          <w:rFonts w:ascii="Arial" w:eastAsia="Times New Roman" w:hAnsi="Arial" w:cs="Arial"/>
          <w:sz w:val="20"/>
          <w:szCs w:val="20"/>
        </w:rPr>
        <w:t>e</w:t>
      </w:r>
      <w:r>
        <w:rPr>
          <w:rFonts w:ascii="Arial" w:eastAsia="Times New Roman" w:hAnsi="Arial" w:cs="Arial"/>
          <w:sz w:val="20"/>
          <w:szCs w:val="20"/>
        </w:rPr>
        <w:t xml:space="preserve">xperience </w:t>
      </w:r>
      <w:r>
        <w:rPr>
          <w:rFonts w:ascii="Arial" w:eastAsia="Times New Roman" w:hAnsi="Arial" w:cs="Arial"/>
          <w:sz w:val="20"/>
          <w:szCs w:val="20"/>
        </w:rPr>
        <w:t>that viewers receive. Witbe’s nonintrusive, plug-and-play technology replicates user behavior to automatically test and monitor video services from anywhere in the world. The Witbe Software Suite allows teams to remotely access their Witbox robot, which can control, test, and monitor any video app running on a real device. The essential data collected by the Witbox can then be analyzed and shared in Witbe’s observability platform.</w:t>
      </w:r>
    </w:p>
    <w:p w14:paraId="226C07D9" w14:textId="77777777">
      <w:pPr>
        <w:textAlignment w:val="baseline"/>
        <w:rPr>
          <w:rFonts w:ascii="Arial" w:eastAsia="Times New Roman" w:hAnsi="Arial" w:cs="Arial"/>
          <w:sz w:val="20"/>
          <w:szCs w:val="20"/>
        </w:rPr>
      </w:pPr>
    </w:p>
    <w:p w14:paraId="0ECB9244" w14:textId="019F8AAA">
      <w:pPr>
        <w:textAlignment w:val="baseline"/>
        <w:rPr>
          <w:rFonts w:ascii="Arial" w:eastAsia="Times New Roman" w:hAnsi="Arial" w:cs="Arial"/>
          <w:sz w:val="20"/>
          <w:szCs w:val="20"/>
        </w:rPr>
      </w:pPr>
      <w:r>
        <w:rPr>
          <w:rFonts w:ascii="Arial" w:eastAsia="Times New Roman" w:hAnsi="Arial" w:cs="Arial"/>
          <w:sz w:val="20"/>
          <w:szCs w:val="20"/>
        </w:rPr>
        <w:t xml:space="preserve">Witbe’s recent innovations include its streamlined Automated Testing Set, deploying automation and providing QA results faster than ever before; its popular Ad Monitoring and Matching technology to resolve dynamic ad insertion errors; its acclaimed Smart Navigate AI algorithm; and its new Mobile Quality of Experience and Video Traffic Optimization technology. Witbe has a dozen offices around the world and is proud to have customers — including Comcast, Cox, Verizon, Peacock, and Orange— in more than 50 countries. More information and further updates are available at </w:t>
      </w:r>
      <w:hyperlink r:id="rId13" w:history="1">
        <w:r>
          <w:rPr>
            <w:rStyle w:val="Hyperlink"/>
            <w:rFonts w:ascii="Arial" w:eastAsia="Times New Roman" w:hAnsi="Arial" w:cs="Arial"/>
            <w:sz w:val="20"/>
            <w:szCs w:val="20"/>
          </w:rPr>
          <w:t>www.witbe.net</w:t>
        </w:r>
      </w:hyperlink>
      <w:r>
        <w:rPr>
          <w:rFonts w:ascii="Arial" w:eastAsia="Times New Roman" w:hAnsi="Arial" w:cs="Arial"/>
          <w:sz w:val="20"/>
          <w:szCs w:val="20"/>
        </w:rPr>
        <w:t>.</w:t>
      </w:r>
    </w:p>
    <w:p w14:paraId="29684FB8" w14:textId="77777777">
      <w:pPr>
        <w:textAlignment w:val="baseline"/>
        <w:rPr>
          <w:rFonts w:ascii="Arial" w:eastAsia="Times New Roman" w:hAnsi="Arial" w:cs="Arial"/>
          <w:b/>
          <w:bCs/>
          <w:sz w:val="20"/>
          <w:szCs w:val="20"/>
        </w:rPr>
      </w:pPr>
    </w:p>
    <w:p w14:paraId="3CE8DBC7" w14:textId="77777777">
      <w:pPr>
        <w:textAlignment w:val="baseline"/>
        <w:rPr>
          <w:rFonts w:ascii="Arial" w:eastAsia="Times New Roman" w:hAnsi="Arial" w:cs="Arial"/>
          <w:b/>
          <w:bCs/>
          <w:sz w:val="20"/>
          <w:szCs w:val="20"/>
        </w:rPr>
      </w:pPr>
    </w:p>
    <w:p w14:paraId="57F467D2" w14:textId="78B65DC3">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t>
      </w:r>
      <w:r>
        <w:rPr>
          <w:rFonts w:ascii="Arial" w:eastAsia="Times New Roman" w:hAnsi="Arial" w:cs="Arial"/>
          <w:b/>
          <w:bCs/>
          <w:sz w:val="20"/>
          <w:szCs w:val="20"/>
        </w:rPr>
        <w:t>Bouygues Telecom</w:t>
      </w:r>
      <w:r>
        <w:rPr>
          <w:rFonts w:ascii="Arial" w:eastAsia="Times New Roman" w:hAnsi="Arial" w:cs="Arial"/>
          <w:b/>
          <w:bCs/>
          <w:sz w:val="20"/>
          <w:szCs w:val="20"/>
        </w:rPr>
        <w:t xml:space="preserve"> (</w:t>
      </w:r>
      <w:hyperlink r:id="rId14" w:history="1">
        <w:r>
          <w:rPr>
            <w:rStyle w:val="Hyperlink"/>
            <w:rFonts w:ascii="Arial" w:eastAsia="Times New Roman" w:hAnsi="Arial" w:cs="Arial"/>
            <w:b/>
            <w:bCs/>
            <w:sz w:val="20"/>
            <w:szCs w:val="20"/>
          </w:rPr>
          <w:t>www.bouyguestelecom.fr</w:t>
        </w:r>
      </w:hyperlink>
      <w:r>
        <w:rPr>
          <w:rFonts w:ascii="Arial" w:eastAsia="Times New Roman" w:hAnsi="Arial" w:cs="Arial"/>
          <w:b/>
          <w:bCs/>
          <w:sz w:val="20"/>
          <w:szCs w:val="20"/>
        </w:rPr>
        <w:t>)</w:t>
      </w:r>
    </w:p>
    <w:p w14:paraId="6F846C12" w14:textId="71E41103">
      <w:pPr>
        <w:rPr>
          <w:rFonts w:ascii="Arial" w:hAnsi="Arial" w:cs="Arial"/>
          <w:sz w:val="20"/>
          <w:szCs w:val="20"/>
        </w:rPr>
      </w:pPr>
      <w:r>
        <w:rPr>
          <w:rFonts w:ascii="Arial" w:hAnsi="Arial" w:cs="Arial"/>
          <w:sz w:val="20"/>
          <w:szCs w:val="20"/>
        </w:rPr>
        <w:t xml:space="preserve">A subsidiary of the Bouygues Group, Bouygues Telecom is a global French operator of communications and digital services, generating </w:t>
      </w:r>
      <w:r>
        <w:rPr>
          <w:rFonts w:ascii="Arial" w:hAnsi="Arial" w:cs="Arial"/>
          <w:sz w:val="20"/>
          <w:szCs w:val="20"/>
        </w:rPr>
        <w:t xml:space="preserve">an </w:t>
      </w:r>
      <w:r>
        <w:rPr>
          <w:rFonts w:ascii="Arial" w:hAnsi="Arial" w:cs="Arial"/>
          <w:sz w:val="20"/>
          <w:szCs w:val="20"/>
        </w:rPr>
        <w:t>annual revenue of €7.7 billion with 10,500 employees and 519 stores across France. Founded in 1994, Bouygues Telecom is committed to providing individuals, businesses, and public administrations with fixed and mobile communication services, as well as high-speed, secure, innovative, and quality internet services by constantly developing its network and user experience.</w:t>
      </w:r>
    </w:p>
    <w:p w14:paraId="2971129E" w14:textId="77777777">
      <w:pPr>
        <w:rPr>
          <w:rFonts w:ascii="Arial" w:hAnsi="Arial" w:cs="Arial"/>
          <w:sz w:val="20"/>
          <w:szCs w:val="20"/>
        </w:rPr>
      </w:pPr>
    </w:p>
    <w:p w14:paraId="02CEE394" w14:textId="1153FD1E">
      <w:pPr>
        <w:rPr>
          <w:rFonts w:ascii="Arial" w:hAnsi="Arial" w:cs="Arial"/>
          <w:sz w:val="20"/>
          <w:szCs w:val="20"/>
        </w:rPr>
      </w:pPr>
      <w:r>
        <w:rPr>
          <w:rFonts w:ascii="Arial" w:hAnsi="Arial" w:cs="Arial"/>
          <w:sz w:val="20"/>
          <w:szCs w:val="20"/>
        </w:rPr>
        <w:t xml:space="preserve">Bouygues Telecom serves 23.9 million mobile customers and 5 million fixed customers, making it the leading provider of Wi-Fi and </w:t>
      </w:r>
      <w:r>
        <w:rPr>
          <w:rFonts w:ascii="Arial" w:hAnsi="Arial" w:cs="Arial"/>
          <w:sz w:val="20"/>
          <w:szCs w:val="20"/>
        </w:rPr>
        <w:t>f</w:t>
      </w:r>
      <w:r>
        <w:rPr>
          <w:rFonts w:ascii="Arial" w:hAnsi="Arial" w:cs="Arial"/>
          <w:sz w:val="20"/>
          <w:szCs w:val="20"/>
        </w:rPr>
        <w:t xml:space="preserve">ixed </w:t>
      </w:r>
      <w:r>
        <w:rPr>
          <w:rFonts w:ascii="Arial" w:hAnsi="Arial" w:cs="Arial"/>
          <w:sz w:val="20"/>
          <w:szCs w:val="20"/>
        </w:rPr>
        <w:t>i</w:t>
      </w:r>
      <w:r>
        <w:rPr>
          <w:rFonts w:ascii="Arial" w:hAnsi="Arial" w:cs="Arial"/>
          <w:sz w:val="20"/>
          <w:szCs w:val="20"/>
        </w:rPr>
        <w:t xml:space="preserve">nternet connections </w:t>
      </w:r>
      <w:r>
        <w:rPr>
          <w:rFonts w:ascii="Arial" w:hAnsi="Arial" w:cs="Arial"/>
          <w:sz w:val="20"/>
          <w:szCs w:val="20"/>
        </w:rPr>
        <w:t xml:space="preserve">in 2023, </w:t>
      </w:r>
      <w:r>
        <w:rPr>
          <w:rFonts w:ascii="Arial" w:hAnsi="Arial" w:cs="Arial"/>
          <w:sz w:val="20"/>
          <w:szCs w:val="20"/>
        </w:rPr>
        <w:t>according to Nperf, and the second</w:t>
      </w:r>
      <w:r>
        <w:rPr>
          <w:rFonts w:ascii="Arial" w:hAnsi="Arial" w:cs="Arial"/>
          <w:sz w:val="20"/>
          <w:szCs w:val="20"/>
        </w:rPr>
        <w:t xml:space="preserve"> </w:t>
      </w:r>
      <w:r>
        <w:rPr>
          <w:rFonts w:ascii="Arial" w:hAnsi="Arial" w:cs="Arial"/>
          <w:sz w:val="20"/>
          <w:szCs w:val="20"/>
        </w:rPr>
        <w:t>largest mobile operator</w:t>
      </w:r>
      <w:r>
        <w:rPr>
          <w:rFonts w:ascii="Arial" w:hAnsi="Arial" w:cs="Arial"/>
          <w:sz w:val="20"/>
          <w:szCs w:val="20"/>
        </w:rPr>
        <w:t>,</w:t>
      </w:r>
      <w:r>
        <w:rPr>
          <w:rFonts w:ascii="Arial" w:hAnsi="Arial" w:cs="Arial"/>
          <w:sz w:val="20"/>
          <w:szCs w:val="20"/>
        </w:rPr>
        <w:t xml:space="preserve"> according to ARCEP. Its 4G network covers 99% of the </w:t>
      </w:r>
      <w:r>
        <w:rPr>
          <w:rFonts w:ascii="Arial" w:hAnsi="Arial" w:cs="Arial"/>
          <w:sz w:val="20"/>
          <w:szCs w:val="20"/>
        </w:rPr>
        <w:t xml:space="preserve">French </w:t>
      </w:r>
      <w:r>
        <w:rPr>
          <w:rFonts w:ascii="Arial" w:hAnsi="Arial" w:cs="Arial"/>
          <w:sz w:val="20"/>
          <w:szCs w:val="20"/>
        </w:rPr>
        <w:t xml:space="preserve">population, while its 5G network covers nearly 17,000 municipalities and more than 81% of the population. Bouygues Telecom Enterprises supports nearly 100,000 clients, including 70% of the CAC 40, in adopting new collaborative tools, migrating to the cloud, and transforming their digital infrastructures. Committed to reducing its carbon emissions, Bouygues Telecom aims to achieve -29.4% for scopes 1 and 2 and </w:t>
      </w:r>
      <w:r>
        <w:rPr>
          <w:rFonts w:ascii="Arial" w:hAnsi="Arial" w:cs="Arial"/>
          <w:sz w:val="20"/>
          <w:szCs w:val="20"/>
        </w:rPr>
        <w:t xml:space="preserve">          </w:t>
      </w:r>
      <w:r>
        <w:rPr>
          <w:rFonts w:ascii="Arial" w:hAnsi="Arial" w:cs="Arial"/>
          <w:sz w:val="20"/>
          <w:szCs w:val="20"/>
        </w:rPr>
        <w:t>-</w:t>
      </w:r>
      <w:r>
        <w:rPr>
          <w:rFonts w:ascii="Arial" w:hAnsi="Arial" w:cs="Arial"/>
          <w:sz w:val="20"/>
          <w:szCs w:val="20"/>
        </w:rPr>
        <w:t>17.5% for scope 3 by 2027, with goals approved by the Science Based Targets initiative.</w:t>
      </w:r>
      <w:r>
        <w:rPr>
          <w:rFonts w:ascii="Arial" w:hAnsi="Arial" w:cs="Arial"/>
          <w:sz w:val="20"/>
          <w:szCs w:val="20"/>
        </w:rPr>
        <w:t xml:space="preserve"> Follow Bouygues Telecom news at </w:t>
      </w:r>
      <w:hyperlink r:id="rId15" w:tgtFrame="_new" w:history="1">
        <w:r>
          <w:rPr>
            <w:rStyle w:val="Hyperlink"/>
            <w:rFonts w:ascii="Arial" w:hAnsi="Arial" w:cs="Arial"/>
            <w:sz w:val="20"/>
            <w:szCs w:val="20"/>
          </w:rPr>
          <w:t>www.corporate.bouyguestelecom.fr</w:t>
        </w:r>
      </w:hyperlink>
      <w:r>
        <w:rPr>
          <w:rFonts w:ascii="Arial" w:hAnsi="Arial" w:cs="Arial"/>
          <w:sz w:val="20"/>
          <w:szCs w:val="20"/>
        </w:rPr>
        <w:t xml:space="preserve"> or @ByTel_Corporate on X.</w:t>
      </w:r>
    </w:p>
    <w:p w14:paraId="45962A4E" w14:textId="77777777">
      <w:pPr>
        <w:textAlignment w:val="baseline"/>
        <w:rPr>
          <w:rFonts w:ascii="Arial" w:eastAsia="Times New Roman" w:hAnsi="Arial" w:cs="Arial"/>
          <w:i/>
          <w:iCs/>
          <w:sz w:val="20"/>
          <w:szCs w:val="20"/>
        </w:rPr>
      </w:pPr>
    </w:p>
    <w:p w14:paraId="0EDAA8F6" w14:textId="545D1A72">
      <w:pPr>
        <w:rPr>
          <w:rStyle w:val="Hyperlink"/>
          <w:rFonts w:ascii="Arial" w:eastAsia="Arial" w:hAnsi="Arial" w:cs="Arial"/>
          <w:sz w:val="20"/>
          <w:szCs w:val="20"/>
        </w:rPr>
      </w:pPr>
      <w:r>
        <w:rPr>
          <w:rFonts w:ascii="Arial" w:eastAsia="Arial" w:hAnsi="Arial" w:cs="Arial"/>
          <w:b/>
          <w:bCs/>
          <w:color w:val="000000" w:themeColor="text1"/>
          <w:sz w:val="20"/>
          <w:szCs w:val="20"/>
        </w:rPr>
        <w:t xml:space="preserve">Link to Word Doc: </w:t>
      </w:r>
      <w:hyperlink r:id="rId16" w:history="1">
        <w:r>
          <w:rPr>
            <w:rStyle w:val="Hyperlink"/>
            <w:rFonts w:ascii="Arial" w:eastAsia="Arial" w:hAnsi="Arial" w:cs="Arial"/>
            <w:sz w:val="20"/>
            <w:szCs w:val="20"/>
          </w:rPr>
          <w:t>www.202commsc.om/Witbe/240926-Witbe-Bouygues_Telecom.docx</w:t>
        </w:r>
      </w:hyperlink>
      <w:r>
        <w:rPr>
          <w:rFonts w:ascii="Arial" w:eastAsia="Arial" w:hAnsi="Arial" w:cs="Arial"/>
          <w:color w:val="000000" w:themeColor="text1"/>
          <w:sz w:val="20"/>
          <w:szCs w:val="20"/>
        </w:rPr>
        <w:t xml:space="preserve"> </w:t>
      </w:r>
    </w:p>
    <w:p w14:paraId="1EEEE781" w14:textId="77777777">
      <w:pPr>
        <w:textAlignment w:val="baseline"/>
        <w:rPr>
          <w:rFonts w:ascii="Arial" w:hAnsi="Arial" w:cs="Arial"/>
          <w:sz w:val="20"/>
          <w:szCs w:val="20"/>
        </w:rPr>
      </w:pPr>
    </w:p>
    <w:tbl>
      <w:tblPr>
        <w:tblW w:w="10427" w:type="dxa"/>
        <w:tblInd w:w="-90" w:type="dxa"/>
        <w:tblCellMar>
          <w:left w:w="0" w:type="dxa"/>
          <w:right w:w="0" w:type="dxa"/>
        </w:tblCellMar>
        <w:tblLook w:val="04A0" w:firstRow="1" w:lastRow="0" w:firstColumn="1" w:lastColumn="0" w:noHBand="0" w:noVBand="1"/>
      </w:tblPr>
      <w:tblGrid>
        <w:gridCol w:w="3060"/>
        <w:gridCol w:w="3945"/>
        <w:gridCol w:w="3422"/>
      </w:tblGrid>
      <w:tr w14:paraId="0DFD0E1A" w14:textId="77777777">
        <w:trPr>
          <w:trHeight w:val="1303"/>
        </w:trPr>
        <w:tc>
          <w:tcPr>
            <w:tcW w:w="3060"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lastRenderedPageBreak/>
              <w:t xml:space="preserve">Agency Contact: </w:t>
            </w:r>
          </w:p>
          <w:p w14:paraId="32E97108" w14:textId="77777777">
            <w:pPr>
              <w:rPr>
                <w:rFonts w:ascii="Arial" w:eastAsia="Arial" w:hAnsi="Arial" w:cs="Arial"/>
                <w:color w:val="000000"/>
                <w:sz w:val="20"/>
                <w:szCs w:val="20"/>
              </w:rPr>
            </w:pPr>
            <w:r>
              <w:rPr>
                <w:rFonts w:ascii="Arial" w:eastAsia="Arial" w:hAnsi="Arial" w:cs="Arial"/>
                <w:color w:val="000000"/>
                <w:sz w:val="20"/>
                <w:szCs w:val="20"/>
              </w:rPr>
              <w:t>Moe Lokat</w:t>
            </w:r>
          </w:p>
          <w:p w14:paraId="31A5A265" w14:textId="5C974972">
            <w:pPr>
              <w:rPr>
                <w:rFonts w:ascii="Arial" w:hAnsi="Arial" w:cs="Arial"/>
                <w:color w:val="000000"/>
                <w:sz w:val="20"/>
                <w:szCs w:val="20"/>
              </w:rPr>
            </w:pPr>
            <w:r>
              <w:rPr>
                <w:rFonts w:ascii="Arial" w:eastAsia="Arial" w:hAnsi="Arial" w:cs="Arial"/>
                <w:color w:val="000000"/>
                <w:sz w:val="20"/>
                <w:szCs w:val="20"/>
              </w:rPr>
              <w:t>202 Communications</w:t>
            </w:r>
          </w:p>
          <w:p w14:paraId="045458A1" w14:textId="77777777">
            <w:pPr>
              <w:rPr>
                <w:rFonts w:ascii="Arial" w:eastAsia="Arial" w:hAnsi="Arial" w:cs="Arial"/>
                <w:color w:val="000000"/>
                <w:sz w:val="20"/>
                <w:szCs w:val="20"/>
              </w:rPr>
            </w:pPr>
            <w:r>
              <w:rPr>
                <w:rFonts w:ascii="Arial" w:eastAsia="Arial" w:hAnsi="Arial" w:cs="Arial"/>
                <w:color w:val="000000"/>
                <w:sz w:val="20"/>
                <w:szCs w:val="20"/>
              </w:rPr>
              <w:t>Tel: +44 (0) 7973 306039</w:t>
            </w:r>
          </w:p>
          <w:p w14:paraId="3C45FD7E" w14:textId="470DD07E">
            <w:pPr>
              <w:rPr>
                <w:rFonts w:ascii="Arial" w:hAnsi="Arial" w:cs="Arial"/>
                <w:color w:val="000000"/>
                <w:sz w:val="20"/>
                <w:szCs w:val="20"/>
              </w:rPr>
            </w:pPr>
            <w:r>
              <w:rPr>
                <w:rFonts w:ascii="Arial" w:eastAsia="Arial" w:hAnsi="Arial" w:cs="Arial"/>
                <w:color w:val="000000"/>
                <w:sz w:val="20"/>
                <w:szCs w:val="20"/>
              </w:rPr>
              <w:t xml:space="preserve">Email: </w:t>
            </w:r>
            <w:hyperlink r:id="rId17" w:history="1">
              <w:r>
                <w:rPr>
                  <w:rStyle w:val="Hyperlink"/>
                  <w:rFonts w:ascii="Arial" w:eastAsia="Arial" w:hAnsi="Arial" w:cs="Arial"/>
                  <w:sz w:val="20"/>
                  <w:szCs w:val="20"/>
                </w:rPr>
                <w:t>moe@202comms.com</w:t>
              </w:r>
            </w:hyperlink>
            <w:r>
              <w:rPr>
                <w:rFonts w:ascii="Arial" w:eastAsia="Arial" w:hAnsi="Arial" w:cs="Arial"/>
                <w:color w:val="000000"/>
                <w:sz w:val="20"/>
                <w:szCs w:val="20"/>
              </w:rPr>
              <w:t xml:space="preserve"> </w:t>
            </w:r>
          </w:p>
        </w:tc>
        <w:tc>
          <w:tcPr>
            <w:tcW w:w="3945"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44E4C9C1" w14:textId="7FB83964">
            <w:pPr>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Chief Marketing Officer</w:t>
            </w:r>
          </w:p>
          <w:p w14:paraId="181CB800" w14:textId="77777777">
            <w:pPr>
              <w:rPr>
                <w:rFonts w:ascii="Arial" w:hAnsi="Arial" w:cs="Arial"/>
                <w:sz w:val="20"/>
                <w:szCs w:val="20"/>
              </w:rPr>
            </w:pPr>
            <w:r>
              <w:rPr>
                <w:rFonts w:ascii="Arial" w:hAnsi="Arial" w:cs="Arial"/>
                <w:sz w:val="20"/>
                <w:szCs w:val="20"/>
              </w:rPr>
              <w:t>Tel: +1 934-799-0121</w:t>
            </w:r>
          </w:p>
          <w:p w14:paraId="20CB8509" w14:textId="77777777">
            <w:pPr>
              <w:rPr>
                <w:rFonts w:ascii="Arial" w:hAnsi="Arial" w:cs="Arial"/>
                <w:sz w:val="20"/>
                <w:szCs w:val="20"/>
              </w:rPr>
            </w:pPr>
            <w:r>
              <w:rPr>
                <w:rFonts w:ascii="Arial" w:hAnsi="Arial" w:cs="Arial"/>
                <w:sz w:val="20"/>
                <w:szCs w:val="20"/>
              </w:rPr>
              <w:t xml:space="preserve">Email: </w:t>
            </w:r>
            <w:hyperlink r:id="rId18" w:history="1">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22"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38107C21">
            <w:pPr>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9"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1"/>
          <w:szCs w:val="21"/>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82274" w14:textId="77777777" w:rsidR="00CC3A59" w:rsidRDefault="00CC3A59" w:rsidP="00552E17">
      <w:r>
        <w:separator/>
      </w:r>
    </w:p>
  </w:endnote>
  <w:endnote w:type="continuationSeparator" w:id="0">
    <w:p w14:paraId="28D8E6FD" w14:textId="77777777" w:rsidR="00CC3A59" w:rsidRDefault="00CC3A59" w:rsidP="00552E17">
      <w:r>
        <w:continuationSeparator/>
      </w:r>
    </w:p>
  </w:endnote>
  <w:endnote w:type="continuationNotice" w:id="1">
    <w:p w14:paraId="53E64193" w14:textId="77777777" w:rsidR="00CC3A59" w:rsidRDefault="00CC3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4D"/>
    <w:family w:val="auto"/>
    <w:pitch w:val="variable"/>
    <w:sig w:usb0="A00000FF" w:usb1="5000E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4AE6E" w14:textId="77777777" w:rsidR="00CC3A59" w:rsidRDefault="00CC3A59" w:rsidP="00552E17">
      <w:r>
        <w:separator/>
      </w:r>
    </w:p>
  </w:footnote>
  <w:footnote w:type="continuationSeparator" w:id="0">
    <w:p w14:paraId="440C57E3" w14:textId="77777777" w:rsidR="00CC3A59" w:rsidRDefault="00CC3A59" w:rsidP="00552E17">
      <w:r>
        <w:continuationSeparator/>
      </w:r>
    </w:p>
  </w:footnote>
  <w:footnote w:type="continuationNotice" w:id="1">
    <w:p w14:paraId="6457677D" w14:textId="77777777" w:rsidR="00CC3A59" w:rsidRDefault="00CC3A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B5699"/>
    <w:multiLevelType w:val="multilevel"/>
    <w:tmpl w:val="EB2206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D7559E0"/>
    <w:multiLevelType w:val="hybridMultilevel"/>
    <w:tmpl w:val="71962308"/>
    <w:lvl w:ilvl="0" w:tplc="08090001">
      <w:start w:val="1"/>
      <w:numFmt w:val="bullet"/>
      <w:lvlText w:val=""/>
      <w:lvlJc w:val="left"/>
      <w:pPr>
        <w:ind w:left="5147" w:hanging="360"/>
      </w:pPr>
      <w:rPr>
        <w:rFonts w:ascii="Symbol" w:hAnsi="Symbol" w:hint="default"/>
      </w:rPr>
    </w:lvl>
    <w:lvl w:ilvl="1" w:tplc="08090003" w:tentative="1">
      <w:start w:val="1"/>
      <w:numFmt w:val="bullet"/>
      <w:lvlText w:val="o"/>
      <w:lvlJc w:val="left"/>
      <w:pPr>
        <w:ind w:left="5867" w:hanging="360"/>
      </w:pPr>
      <w:rPr>
        <w:rFonts w:ascii="Courier New" w:hAnsi="Courier New" w:hint="default"/>
      </w:rPr>
    </w:lvl>
    <w:lvl w:ilvl="2" w:tplc="08090005" w:tentative="1">
      <w:start w:val="1"/>
      <w:numFmt w:val="bullet"/>
      <w:lvlText w:val=""/>
      <w:lvlJc w:val="left"/>
      <w:pPr>
        <w:ind w:left="6587" w:hanging="360"/>
      </w:pPr>
      <w:rPr>
        <w:rFonts w:ascii="Wingdings" w:hAnsi="Wingdings" w:hint="default"/>
      </w:rPr>
    </w:lvl>
    <w:lvl w:ilvl="3" w:tplc="08090001" w:tentative="1">
      <w:start w:val="1"/>
      <w:numFmt w:val="bullet"/>
      <w:lvlText w:val=""/>
      <w:lvlJc w:val="left"/>
      <w:pPr>
        <w:ind w:left="7307" w:hanging="360"/>
      </w:pPr>
      <w:rPr>
        <w:rFonts w:ascii="Symbol" w:hAnsi="Symbol" w:hint="default"/>
      </w:rPr>
    </w:lvl>
    <w:lvl w:ilvl="4" w:tplc="08090003" w:tentative="1">
      <w:start w:val="1"/>
      <w:numFmt w:val="bullet"/>
      <w:lvlText w:val="o"/>
      <w:lvlJc w:val="left"/>
      <w:pPr>
        <w:ind w:left="8027" w:hanging="360"/>
      </w:pPr>
      <w:rPr>
        <w:rFonts w:ascii="Courier New" w:hAnsi="Courier New" w:hint="default"/>
      </w:rPr>
    </w:lvl>
    <w:lvl w:ilvl="5" w:tplc="08090005" w:tentative="1">
      <w:start w:val="1"/>
      <w:numFmt w:val="bullet"/>
      <w:lvlText w:val=""/>
      <w:lvlJc w:val="left"/>
      <w:pPr>
        <w:ind w:left="8747" w:hanging="360"/>
      </w:pPr>
      <w:rPr>
        <w:rFonts w:ascii="Wingdings" w:hAnsi="Wingdings" w:hint="default"/>
      </w:rPr>
    </w:lvl>
    <w:lvl w:ilvl="6" w:tplc="08090001" w:tentative="1">
      <w:start w:val="1"/>
      <w:numFmt w:val="bullet"/>
      <w:lvlText w:val=""/>
      <w:lvlJc w:val="left"/>
      <w:pPr>
        <w:ind w:left="9467" w:hanging="360"/>
      </w:pPr>
      <w:rPr>
        <w:rFonts w:ascii="Symbol" w:hAnsi="Symbol" w:hint="default"/>
      </w:rPr>
    </w:lvl>
    <w:lvl w:ilvl="7" w:tplc="08090003" w:tentative="1">
      <w:start w:val="1"/>
      <w:numFmt w:val="bullet"/>
      <w:lvlText w:val="o"/>
      <w:lvlJc w:val="left"/>
      <w:pPr>
        <w:ind w:left="10187" w:hanging="360"/>
      </w:pPr>
      <w:rPr>
        <w:rFonts w:ascii="Courier New" w:hAnsi="Courier New" w:hint="default"/>
      </w:rPr>
    </w:lvl>
    <w:lvl w:ilvl="8" w:tplc="08090005" w:tentative="1">
      <w:start w:val="1"/>
      <w:numFmt w:val="bullet"/>
      <w:lvlText w:val=""/>
      <w:lvlJc w:val="left"/>
      <w:pPr>
        <w:ind w:left="10907" w:hanging="360"/>
      </w:pPr>
      <w:rPr>
        <w:rFonts w:ascii="Wingdings" w:hAnsi="Wingdings" w:hint="default"/>
      </w:rPr>
    </w:lvl>
  </w:abstractNum>
  <w:abstractNum w:abstractNumId="2"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8048578">
    <w:abstractNumId w:val="2"/>
  </w:num>
  <w:num w:numId="2" w16cid:durableId="183204337">
    <w:abstractNumId w:val="1"/>
  </w:num>
  <w:num w:numId="3" w16cid:durableId="187762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442A"/>
    <w:rsid w:val="00005304"/>
    <w:rsid w:val="0000691F"/>
    <w:rsid w:val="000134C2"/>
    <w:rsid w:val="0001720C"/>
    <w:rsid w:val="00031772"/>
    <w:rsid w:val="0003633C"/>
    <w:rsid w:val="0004159E"/>
    <w:rsid w:val="000415C1"/>
    <w:rsid w:val="000437AF"/>
    <w:rsid w:val="00046E28"/>
    <w:rsid w:val="0005249D"/>
    <w:rsid w:val="00060FE0"/>
    <w:rsid w:val="000643FA"/>
    <w:rsid w:val="00073111"/>
    <w:rsid w:val="0007535A"/>
    <w:rsid w:val="00076F8B"/>
    <w:rsid w:val="00091BBC"/>
    <w:rsid w:val="00095BA4"/>
    <w:rsid w:val="00096E90"/>
    <w:rsid w:val="000A1982"/>
    <w:rsid w:val="000A4BC2"/>
    <w:rsid w:val="000A5748"/>
    <w:rsid w:val="000A6000"/>
    <w:rsid w:val="000B0041"/>
    <w:rsid w:val="000B1B8B"/>
    <w:rsid w:val="000B301C"/>
    <w:rsid w:val="000B3867"/>
    <w:rsid w:val="000B7E3F"/>
    <w:rsid w:val="000C4993"/>
    <w:rsid w:val="000C5485"/>
    <w:rsid w:val="000C7B61"/>
    <w:rsid w:val="000D2265"/>
    <w:rsid w:val="000D2C92"/>
    <w:rsid w:val="000D2D4C"/>
    <w:rsid w:val="000D2F2E"/>
    <w:rsid w:val="000D4ABC"/>
    <w:rsid w:val="000E0559"/>
    <w:rsid w:val="000E6BD2"/>
    <w:rsid w:val="000F10F2"/>
    <w:rsid w:val="000F1734"/>
    <w:rsid w:val="000F364E"/>
    <w:rsid w:val="000F5068"/>
    <w:rsid w:val="000F6079"/>
    <w:rsid w:val="000F6BD1"/>
    <w:rsid w:val="000F7071"/>
    <w:rsid w:val="000F7D66"/>
    <w:rsid w:val="00100B8C"/>
    <w:rsid w:val="0010433D"/>
    <w:rsid w:val="001055DF"/>
    <w:rsid w:val="00106AC9"/>
    <w:rsid w:val="0010AF75"/>
    <w:rsid w:val="0011328F"/>
    <w:rsid w:val="0011425F"/>
    <w:rsid w:val="00114BA5"/>
    <w:rsid w:val="001240B0"/>
    <w:rsid w:val="00125563"/>
    <w:rsid w:val="00125884"/>
    <w:rsid w:val="00130001"/>
    <w:rsid w:val="0013025C"/>
    <w:rsid w:val="00140FEC"/>
    <w:rsid w:val="001438C5"/>
    <w:rsid w:val="001536B3"/>
    <w:rsid w:val="00153C8A"/>
    <w:rsid w:val="0015428F"/>
    <w:rsid w:val="001552CF"/>
    <w:rsid w:val="001602F0"/>
    <w:rsid w:val="00163E6F"/>
    <w:rsid w:val="0016492C"/>
    <w:rsid w:val="0016650B"/>
    <w:rsid w:val="00172576"/>
    <w:rsid w:val="00172E14"/>
    <w:rsid w:val="00173328"/>
    <w:rsid w:val="0017351C"/>
    <w:rsid w:val="001776D8"/>
    <w:rsid w:val="00180341"/>
    <w:rsid w:val="001818EB"/>
    <w:rsid w:val="00182683"/>
    <w:rsid w:val="00182BCC"/>
    <w:rsid w:val="0018728A"/>
    <w:rsid w:val="00187A19"/>
    <w:rsid w:val="00187B73"/>
    <w:rsid w:val="001A03C4"/>
    <w:rsid w:val="001A5A5F"/>
    <w:rsid w:val="001A5D95"/>
    <w:rsid w:val="001A738F"/>
    <w:rsid w:val="001B569F"/>
    <w:rsid w:val="001C5A73"/>
    <w:rsid w:val="001C6642"/>
    <w:rsid w:val="001D19BB"/>
    <w:rsid w:val="001D2E42"/>
    <w:rsid w:val="001E1EF3"/>
    <w:rsid w:val="001E2E81"/>
    <w:rsid w:val="001E44FC"/>
    <w:rsid w:val="001E4DAC"/>
    <w:rsid w:val="001F6739"/>
    <w:rsid w:val="0020236E"/>
    <w:rsid w:val="002028E7"/>
    <w:rsid w:val="00212075"/>
    <w:rsid w:val="0021237C"/>
    <w:rsid w:val="00226A03"/>
    <w:rsid w:val="00231EED"/>
    <w:rsid w:val="00233AEC"/>
    <w:rsid w:val="00234770"/>
    <w:rsid w:val="00236CD6"/>
    <w:rsid w:val="00241A29"/>
    <w:rsid w:val="00247692"/>
    <w:rsid w:val="00247DB9"/>
    <w:rsid w:val="0025299C"/>
    <w:rsid w:val="00253B3E"/>
    <w:rsid w:val="00253C27"/>
    <w:rsid w:val="00257885"/>
    <w:rsid w:val="0026182A"/>
    <w:rsid w:val="002618AC"/>
    <w:rsid w:val="002640F6"/>
    <w:rsid w:val="002642F0"/>
    <w:rsid w:val="00273757"/>
    <w:rsid w:val="0027482B"/>
    <w:rsid w:val="00276287"/>
    <w:rsid w:val="00277248"/>
    <w:rsid w:val="00280E24"/>
    <w:rsid w:val="00281B6A"/>
    <w:rsid w:val="0028333B"/>
    <w:rsid w:val="002839C9"/>
    <w:rsid w:val="00286363"/>
    <w:rsid w:val="0029161B"/>
    <w:rsid w:val="002932F1"/>
    <w:rsid w:val="00293CC1"/>
    <w:rsid w:val="00296414"/>
    <w:rsid w:val="00297F6F"/>
    <w:rsid w:val="002A05E5"/>
    <w:rsid w:val="002A1F4F"/>
    <w:rsid w:val="002A390D"/>
    <w:rsid w:val="002A3B10"/>
    <w:rsid w:val="002A66E5"/>
    <w:rsid w:val="002A74A8"/>
    <w:rsid w:val="002A7708"/>
    <w:rsid w:val="002B1B77"/>
    <w:rsid w:val="002B4019"/>
    <w:rsid w:val="002C2063"/>
    <w:rsid w:val="002C3682"/>
    <w:rsid w:val="002C5CBD"/>
    <w:rsid w:val="002C7E54"/>
    <w:rsid w:val="002C7FFD"/>
    <w:rsid w:val="002D001C"/>
    <w:rsid w:val="002D121D"/>
    <w:rsid w:val="002D79C0"/>
    <w:rsid w:val="002E0A2B"/>
    <w:rsid w:val="002E0CE3"/>
    <w:rsid w:val="002E16BF"/>
    <w:rsid w:val="002E291A"/>
    <w:rsid w:val="002F0413"/>
    <w:rsid w:val="002F33E1"/>
    <w:rsid w:val="002F78C6"/>
    <w:rsid w:val="0030164B"/>
    <w:rsid w:val="00304552"/>
    <w:rsid w:val="00304A8B"/>
    <w:rsid w:val="00305E1C"/>
    <w:rsid w:val="003112D5"/>
    <w:rsid w:val="00312C34"/>
    <w:rsid w:val="0031567F"/>
    <w:rsid w:val="00316095"/>
    <w:rsid w:val="003175E6"/>
    <w:rsid w:val="0032777C"/>
    <w:rsid w:val="0033252D"/>
    <w:rsid w:val="00333143"/>
    <w:rsid w:val="0033578A"/>
    <w:rsid w:val="00345BF3"/>
    <w:rsid w:val="0035704D"/>
    <w:rsid w:val="00357962"/>
    <w:rsid w:val="00363995"/>
    <w:rsid w:val="00363DC8"/>
    <w:rsid w:val="0036658E"/>
    <w:rsid w:val="00366DDE"/>
    <w:rsid w:val="003674E1"/>
    <w:rsid w:val="00371D12"/>
    <w:rsid w:val="00374A2A"/>
    <w:rsid w:val="003772AC"/>
    <w:rsid w:val="00382B24"/>
    <w:rsid w:val="003842E8"/>
    <w:rsid w:val="00384FC7"/>
    <w:rsid w:val="0039167E"/>
    <w:rsid w:val="003A10A9"/>
    <w:rsid w:val="003A1282"/>
    <w:rsid w:val="003A3BBB"/>
    <w:rsid w:val="003A4394"/>
    <w:rsid w:val="003B2F0F"/>
    <w:rsid w:val="003C0982"/>
    <w:rsid w:val="003C1E52"/>
    <w:rsid w:val="003C372F"/>
    <w:rsid w:val="003C6463"/>
    <w:rsid w:val="003D4913"/>
    <w:rsid w:val="003D65DD"/>
    <w:rsid w:val="003E6160"/>
    <w:rsid w:val="003E7E65"/>
    <w:rsid w:val="003F2FD8"/>
    <w:rsid w:val="003F3646"/>
    <w:rsid w:val="003F3B86"/>
    <w:rsid w:val="003F5C41"/>
    <w:rsid w:val="003F5D39"/>
    <w:rsid w:val="003F6F93"/>
    <w:rsid w:val="00403B77"/>
    <w:rsid w:val="00404A45"/>
    <w:rsid w:val="004145B5"/>
    <w:rsid w:val="00415486"/>
    <w:rsid w:val="00415ED5"/>
    <w:rsid w:val="00415F2A"/>
    <w:rsid w:val="004219F0"/>
    <w:rsid w:val="004246EE"/>
    <w:rsid w:val="00432192"/>
    <w:rsid w:val="004326E0"/>
    <w:rsid w:val="0043433F"/>
    <w:rsid w:val="00434AED"/>
    <w:rsid w:val="00435BE3"/>
    <w:rsid w:val="00436F9D"/>
    <w:rsid w:val="004408CC"/>
    <w:rsid w:val="0044335F"/>
    <w:rsid w:val="00444D1E"/>
    <w:rsid w:val="00453813"/>
    <w:rsid w:val="00454175"/>
    <w:rsid w:val="00454920"/>
    <w:rsid w:val="0045544A"/>
    <w:rsid w:val="00455AF9"/>
    <w:rsid w:val="00462367"/>
    <w:rsid w:val="00462765"/>
    <w:rsid w:val="00462ADC"/>
    <w:rsid w:val="00463BC7"/>
    <w:rsid w:val="0046610B"/>
    <w:rsid w:val="00470AAD"/>
    <w:rsid w:val="0047436B"/>
    <w:rsid w:val="00493C37"/>
    <w:rsid w:val="0049553D"/>
    <w:rsid w:val="004A06F1"/>
    <w:rsid w:val="004A0824"/>
    <w:rsid w:val="004A2298"/>
    <w:rsid w:val="004B005E"/>
    <w:rsid w:val="004B0F3B"/>
    <w:rsid w:val="004B1964"/>
    <w:rsid w:val="004B2D25"/>
    <w:rsid w:val="004B5C9D"/>
    <w:rsid w:val="004B6349"/>
    <w:rsid w:val="004B6545"/>
    <w:rsid w:val="004C1BE9"/>
    <w:rsid w:val="004C1FF3"/>
    <w:rsid w:val="004C5758"/>
    <w:rsid w:val="004C6C97"/>
    <w:rsid w:val="004C7E24"/>
    <w:rsid w:val="004D026D"/>
    <w:rsid w:val="004E1DC7"/>
    <w:rsid w:val="004E32B5"/>
    <w:rsid w:val="004E499A"/>
    <w:rsid w:val="004E6ED5"/>
    <w:rsid w:val="004F183F"/>
    <w:rsid w:val="004F1907"/>
    <w:rsid w:val="004F4C01"/>
    <w:rsid w:val="005042E5"/>
    <w:rsid w:val="0050560E"/>
    <w:rsid w:val="005113EA"/>
    <w:rsid w:val="00517BE6"/>
    <w:rsid w:val="0052252B"/>
    <w:rsid w:val="00531F9B"/>
    <w:rsid w:val="00534A75"/>
    <w:rsid w:val="00536930"/>
    <w:rsid w:val="00537015"/>
    <w:rsid w:val="00544063"/>
    <w:rsid w:val="00545DED"/>
    <w:rsid w:val="00552E17"/>
    <w:rsid w:val="0055321A"/>
    <w:rsid w:val="005538BA"/>
    <w:rsid w:val="005547A9"/>
    <w:rsid w:val="005600BC"/>
    <w:rsid w:val="00562DDC"/>
    <w:rsid w:val="00562EA5"/>
    <w:rsid w:val="00564A33"/>
    <w:rsid w:val="00565863"/>
    <w:rsid w:val="005700DE"/>
    <w:rsid w:val="00574433"/>
    <w:rsid w:val="0057584B"/>
    <w:rsid w:val="005779FC"/>
    <w:rsid w:val="00577F04"/>
    <w:rsid w:val="00586521"/>
    <w:rsid w:val="00586A7C"/>
    <w:rsid w:val="005A3EC2"/>
    <w:rsid w:val="005B11A8"/>
    <w:rsid w:val="005B47F8"/>
    <w:rsid w:val="005B651D"/>
    <w:rsid w:val="005C4F2A"/>
    <w:rsid w:val="005C7F89"/>
    <w:rsid w:val="005D29AF"/>
    <w:rsid w:val="005D5BCD"/>
    <w:rsid w:val="005D771D"/>
    <w:rsid w:val="005E0936"/>
    <w:rsid w:val="005E1157"/>
    <w:rsid w:val="005E36C2"/>
    <w:rsid w:val="005E7990"/>
    <w:rsid w:val="005F2117"/>
    <w:rsid w:val="005F30A4"/>
    <w:rsid w:val="005F415A"/>
    <w:rsid w:val="005F4B09"/>
    <w:rsid w:val="005F7112"/>
    <w:rsid w:val="006028EE"/>
    <w:rsid w:val="006049C0"/>
    <w:rsid w:val="0061477C"/>
    <w:rsid w:val="00615237"/>
    <w:rsid w:val="006237B6"/>
    <w:rsid w:val="00625F2A"/>
    <w:rsid w:val="006268E8"/>
    <w:rsid w:val="006364B1"/>
    <w:rsid w:val="00636CBE"/>
    <w:rsid w:val="00637B5D"/>
    <w:rsid w:val="00644E86"/>
    <w:rsid w:val="00645B96"/>
    <w:rsid w:val="00645E3A"/>
    <w:rsid w:val="00646D3A"/>
    <w:rsid w:val="00647348"/>
    <w:rsid w:val="00647B64"/>
    <w:rsid w:val="00650D9F"/>
    <w:rsid w:val="00651024"/>
    <w:rsid w:val="00654404"/>
    <w:rsid w:val="00656948"/>
    <w:rsid w:val="00660184"/>
    <w:rsid w:val="0066053C"/>
    <w:rsid w:val="00660784"/>
    <w:rsid w:val="00663BA3"/>
    <w:rsid w:val="00665DB1"/>
    <w:rsid w:val="006664FF"/>
    <w:rsid w:val="006701C5"/>
    <w:rsid w:val="00671637"/>
    <w:rsid w:val="006720A1"/>
    <w:rsid w:val="00672137"/>
    <w:rsid w:val="00672687"/>
    <w:rsid w:val="00673790"/>
    <w:rsid w:val="00677A14"/>
    <w:rsid w:val="00680117"/>
    <w:rsid w:val="00681272"/>
    <w:rsid w:val="00686235"/>
    <w:rsid w:val="00691D64"/>
    <w:rsid w:val="00692CE4"/>
    <w:rsid w:val="00693039"/>
    <w:rsid w:val="006A1CD3"/>
    <w:rsid w:val="006A2605"/>
    <w:rsid w:val="006B1E04"/>
    <w:rsid w:val="006B4E21"/>
    <w:rsid w:val="006B6C51"/>
    <w:rsid w:val="006B772B"/>
    <w:rsid w:val="006C1589"/>
    <w:rsid w:val="006C235D"/>
    <w:rsid w:val="006C2474"/>
    <w:rsid w:val="006C5236"/>
    <w:rsid w:val="006C5C23"/>
    <w:rsid w:val="006D1E28"/>
    <w:rsid w:val="006D605A"/>
    <w:rsid w:val="006D7255"/>
    <w:rsid w:val="006E1AC7"/>
    <w:rsid w:val="006E72D8"/>
    <w:rsid w:val="006F39CD"/>
    <w:rsid w:val="006F66C7"/>
    <w:rsid w:val="00706287"/>
    <w:rsid w:val="0070737A"/>
    <w:rsid w:val="00712CEA"/>
    <w:rsid w:val="0071321E"/>
    <w:rsid w:val="00713409"/>
    <w:rsid w:val="00726E71"/>
    <w:rsid w:val="007328C9"/>
    <w:rsid w:val="00735ABA"/>
    <w:rsid w:val="00741104"/>
    <w:rsid w:val="00741E02"/>
    <w:rsid w:val="0074527B"/>
    <w:rsid w:val="00751989"/>
    <w:rsid w:val="00757795"/>
    <w:rsid w:val="00757DD1"/>
    <w:rsid w:val="00765BC4"/>
    <w:rsid w:val="00780181"/>
    <w:rsid w:val="00781858"/>
    <w:rsid w:val="0078302D"/>
    <w:rsid w:val="007842CA"/>
    <w:rsid w:val="00784563"/>
    <w:rsid w:val="007921E1"/>
    <w:rsid w:val="00795179"/>
    <w:rsid w:val="007973B1"/>
    <w:rsid w:val="007A0725"/>
    <w:rsid w:val="007A3A13"/>
    <w:rsid w:val="007B1490"/>
    <w:rsid w:val="007B39ED"/>
    <w:rsid w:val="007B3CC3"/>
    <w:rsid w:val="007C226D"/>
    <w:rsid w:val="007C4AE9"/>
    <w:rsid w:val="007E2A8E"/>
    <w:rsid w:val="007E2C4E"/>
    <w:rsid w:val="007F3A22"/>
    <w:rsid w:val="007F6CCA"/>
    <w:rsid w:val="008038B4"/>
    <w:rsid w:val="00803D69"/>
    <w:rsid w:val="00810069"/>
    <w:rsid w:val="00813964"/>
    <w:rsid w:val="00817D05"/>
    <w:rsid w:val="008202CD"/>
    <w:rsid w:val="0082272E"/>
    <w:rsid w:val="00823615"/>
    <w:rsid w:val="00826F2E"/>
    <w:rsid w:val="00833ED5"/>
    <w:rsid w:val="008412BD"/>
    <w:rsid w:val="00843EE8"/>
    <w:rsid w:val="0084475E"/>
    <w:rsid w:val="00844E76"/>
    <w:rsid w:val="00844F66"/>
    <w:rsid w:val="00847C55"/>
    <w:rsid w:val="00850007"/>
    <w:rsid w:val="00850849"/>
    <w:rsid w:val="0085107B"/>
    <w:rsid w:val="0085454F"/>
    <w:rsid w:val="008655DC"/>
    <w:rsid w:val="00866EE7"/>
    <w:rsid w:val="008725DA"/>
    <w:rsid w:val="00876468"/>
    <w:rsid w:val="00880D8C"/>
    <w:rsid w:val="00881C39"/>
    <w:rsid w:val="00882D5B"/>
    <w:rsid w:val="00883E25"/>
    <w:rsid w:val="00885E91"/>
    <w:rsid w:val="0089050A"/>
    <w:rsid w:val="00890F03"/>
    <w:rsid w:val="00892DA8"/>
    <w:rsid w:val="00894DD1"/>
    <w:rsid w:val="008A06B8"/>
    <w:rsid w:val="008A1D01"/>
    <w:rsid w:val="008A5B12"/>
    <w:rsid w:val="008A5C75"/>
    <w:rsid w:val="008A640C"/>
    <w:rsid w:val="008A6CC3"/>
    <w:rsid w:val="008B4FC1"/>
    <w:rsid w:val="008B6DB4"/>
    <w:rsid w:val="008C0A88"/>
    <w:rsid w:val="008C3F03"/>
    <w:rsid w:val="008C4618"/>
    <w:rsid w:val="008D01F7"/>
    <w:rsid w:val="008D0747"/>
    <w:rsid w:val="008D1EFC"/>
    <w:rsid w:val="008D5354"/>
    <w:rsid w:val="008F0CAF"/>
    <w:rsid w:val="008F1FC0"/>
    <w:rsid w:val="008F297D"/>
    <w:rsid w:val="008F5A41"/>
    <w:rsid w:val="008F77F6"/>
    <w:rsid w:val="00902AFB"/>
    <w:rsid w:val="00902E9A"/>
    <w:rsid w:val="00905D1A"/>
    <w:rsid w:val="00910F11"/>
    <w:rsid w:val="00914FE8"/>
    <w:rsid w:val="00922131"/>
    <w:rsid w:val="00924A71"/>
    <w:rsid w:val="009256FE"/>
    <w:rsid w:val="00926D81"/>
    <w:rsid w:val="00927E3F"/>
    <w:rsid w:val="00932E65"/>
    <w:rsid w:val="009405CE"/>
    <w:rsid w:val="009435AC"/>
    <w:rsid w:val="00944700"/>
    <w:rsid w:val="00953B2F"/>
    <w:rsid w:val="00953C31"/>
    <w:rsid w:val="00955DF3"/>
    <w:rsid w:val="00962E96"/>
    <w:rsid w:val="009775D2"/>
    <w:rsid w:val="00986937"/>
    <w:rsid w:val="00986E4D"/>
    <w:rsid w:val="0099304C"/>
    <w:rsid w:val="009934FE"/>
    <w:rsid w:val="0099793D"/>
    <w:rsid w:val="009B308C"/>
    <w:rsid w:val="009B3177"/>
    <w:rsid w:val="009B5EF7"/>
    <w:rsid w:val="009C0027"/>
    <w:rsid w:val="009C24A5"/>
    <w:rsid w:val="009C2649"/>
    <w:rsid w:val="009C65BD"/>
    <w:rsid w:val="009C7C53"/>
    <w:rsid w:val="009F1611"/>
    <w:rsid w:val="009F4C7D"/>
    <w:rsid w:val="00A0003C"/>
    <w:rsid w:val="00A04BEE"/>
    <w:rsid w:val="00A06239"/>
    <w:rsid w:val="00A06AB3"/>
    <w:rsid w:val="00A12027"/>
    <w:rsid w:val="00A151A6"/>
    <w:rsid w:val="00A16711"/>
    <w:rsid w:val="00A1749B"/>
    <w:rsid w:val="00A20188"/>
    <w:rsid w:val="00A2033A"/>
    <w:rsid w:val="00A23158"/>
    <w:rsid w:val="00A24B97"/>
    <w:rsid w:val="00A2504E"/>
    <w:rsid w:val="00A26011"/>
    <w:rsid w:val="00A32057"/>
    <w:rsid w:val="00A32754"/>
    <w:rsid w:val="00A37529"/>
    <w:rsid w:val="00A45034"/>
    <w:rsid w:val="00A548BD"/>
    <w:rsid w:val="00A57C9F"/>
    <w:rsid w:val="00A60336"/>
    <w:rsid w:val="00A6687C"/>
    <w:rsid w:val="00A7432A"/>
    <w:rsid w:val="00A75370"/>
    <w:rsid w:val="00A81412"/>
    <w:rsid w:val="00A84609"/>
    <w:rsid w:val="00A86576"/>
    <w:rsid w:val="00A869A4"/>
    <w:rsid w:val="00A943DB"/>
    <w:rsid w:val="00A95625"/>
    <w:rsid w:val="00AA55C2"/>
    <w:rsid w:val="00AB52A0"/>
    <w:rsid w:val="00AB6232"/>
    <w:rsid w:val="00AB706B"/>
    <w:rsid w:val="00AB7CD3"/>
    <w:rsid w:val="00AC17F2"/>
    <w:rsid w:val="00AC479C"/>
    <w:rsid w:val="00AC6C94"/>
    <w:rsid w:val="00AD513A"/>
    <w:rsid w:val="00AE106B"/>
    <w:rsid w:val="00AE11A8"/>
    <w:rsid w:val="00AE23A1"/>
    <w:rsid w:val="00AE4F33"/>
    <w:rsid w:val="00AE72DF"/>
    <w:rsid w:val="00AF19B5"/>
    <w:rsid w:val="00AF2025"/>
    <w:rsid w:val="00AF3BDE"/>
    <w:rsid w:val="00B13E42"/>
    <w:rsid w:val="00B17091"/>
    <w:rsid w:val="00B212D7"/>
    <w:rsid w:val="00B214CB"/>
    <w:rsid w:val="00B234B9"/>
    <w:rsid w:val="00B25875"/>
    <w:rsid w:val="00B275D2"/>
    <w:rsid w:val="00B3183E"/>
    <w:rsid w:val="00B40A78"/>
    <w:rsid w:val="00B43216"/>
    <w:rsid w:val="00B43BAB"/>
    <w:rsid w:val="00B444C8"/>
    <w:rsid w:val="00B45964"/>
    <w:rsid w:val="00B462F8"/>
    <w:rsid w:val="00B46679"/>
    <w:rsid w:val="00B516BA"/>
    <w:rsid w:val="00B5444C"/>
    <w:rsid w:val="00B55D5A"/>
    <w:rsid w:val="00B60BD3"/>
    <w:rsid w:val="00B62677"/>
    <w:rsid w:val="00B67E06"/>
    <w:rsid w:val="00B70805"/>
    <w:rsid w:val="00B84B6B"/>
    <w:rsid w:val="00B8588B"/>
    <w:rsid w:val="00B8726C"/>
    <w:rsid w:val="00B90EEE"/>
    <w:rsid w:val="00BA12A8"/>
    <w:rsid w:val="00BB04E0"/>
    <w:rsid w:val="00BB0BDD"/>
    <w:rsid w:val="00BB444C"/>
    <w:rsid w:val="00BB60BF"/>
    <w:rsid w:val="00BB7C5E"/>
    <w:rsid w:val="00BC1E9B"/>
    <w:rsid w:val="00BC6299"/>
    <w:rsid w:val="00BC734F"/>
    <w:rsid w:val="00BD0DBC"/>
    <w:rsid w:val="00BD26C9"/>
    <w:rsid w:val="00BD44CC"/>
    <w:rsid w:val="00BE11AF"/>
    <w:rsid w:val="00BE6632"/>
    <w:rsid w:val="00BF0609"/>
    <w:rsid w:val="00BF3068"/>
    <w:rsid w:val="00BF4B6B"/>
    <w:rsid w:val="00BF5F3A"/>
    <w:rsid w:val="00C01377"/>
    <w:rsid w:val="00C04401"/>
    <w:rsid w:val="00C079A8"/>
    <w:rsid w:val="00C12DE7"/>
    <w:rsid w:val="00C16D6C"/>
    <w:rsid w:val="00C2174A"/>
    <w:rsid w:val="00C23C83"/>
    <w:rsid w:val="00C256F5"/>
    <w:rsid w:val="00C3264F"/>
    <w:rsid w:val="00C33174"/>
    <w:rsid w:val="00C36DA5"/>
    <w:rsid w:val="00C42A96"/>
    <w:rsid w:val="00C4418B"/>
    <w:rsid w:val="00C50108"/>
    <w:rsid w:val="00C528B2"/>
    <w:rsid w:val="00C62799"/>
    <w:rsid w:val="00C627AE"/>
    <w:rsid w:val="00C63196"/>
    <w:rsid w:val="00C673E0"/>
    <w:rsid w:val="00C73CE0"/>
    <w:rsid w:val="00C81D44"/>
    <w:rsid w:val="00C82A75"/>
    <w:rsid w:val="00C85F09"/>
    <w:rsid w:val="00C9081F"/>
    <w:rsid w:val="00C973FF"/>
    <w:rsid w:val="00C9798E"/>
    <w:rsid w:val="00C97D03"/>
    <w:rsid w:val="00CA6C18"/>
    <w:rsid w:val="00CA72EB"/>
    <w:rsid w:val="00CB1CA9"/>
    <w:rsid w:val="00CB6AED"/>
    <w:rsid w:val="00CC3647"/>
    <w:rsid w:val="00CC3A59"/>
    <w:rsid w:val="00CD1A5E"/>
    <w:rsid w:val="00CD22C9"/>
    <w:rsid w:val="00CD2F0D"/>
    <w:rsid w:val="00CD3147"/>
    <w:rsid w:val="00CE4E32"/>
    <w:rsid w:val="00CE58FE"/>
    <w:rsid w:val="00CE6837"/>
    <w:rsid w:val="00CF1915"/>
    <w:rsid w:val="00CF5379"/>
    <w:rsid w:val="00CF6335"/>
    <w:rsid w:val="00D01956"/>
    <w:rsid w:val="00D1181F"/>
    <w:rsid w:val="00D12575"/>
    <w:rsid w:val="00D1266C"/>
    <w:rsid w:val="00D14518"/>
    <w:rsid w:val="00D14C1F"/>
    <w:rsid w:val="00D14D11"/>
    <w:rsid w:val="00D15E13"/>
    <w:rsid w:val="00D16FE6"/>
    <w:rsid w:val="00D22209"/>
    <w:rsid w:val="00D22F12"/>
    <w:rsid w:val="00D253BF"/>
    <w:rsid w:val="00D25F81"/>
    <w:rsid w:val="00D30B3B"/>
    <w:rsid w:val="00D31902"/>
    <w:rsid w:val="00D3430A"/>
    <w:rsid w:val="00D3454E"/>
    <w:rsid w:val="00D34C92"/>
    <w:rsid w:val="00D36FE6"/>
    <w:rsid w:val="00D37B49"/>
    <w:rsid w:val="00D413EE"/>
    <w:rsid w:val="00D455CA"/>
    <w:rsid w:val="00D46432"/>
    <w:rsid w:val="00D50CE7"/>
    <w:rsid w:val="00D511A8"/>
    <w:rsid w:val="00D520D3"/>
    <w:rsid w:val="00D52BAE"/>
    <w:rsid w:val="00D545BC"/>
    <w:rsid w:val="00D61EAB"/>
    <w:rsid w:val="00D6308C"/>
    <w:rsid w:val="00D65325"/>
    <w:rsid w:val="00D65721"/>
    <w:rsid w:val="00D66EC6"/>
    <w:rsid w:val="00D74B6B"/>
    <w:rsid w:val="00D76120"/>
    <w:rsid w:val="00D76174"/>
    <w:rsid w:val="00D81965"/>
    <w:rsid w:val="00D83D30"/>
    <w:rsid w:val="00D9687E"/>
    <w:rsid w:val="00D97621"/>
    <w:rsid w:val="00DA083D"/>
    <w:rsid w:val="00DA1625"/>
    <w:rsid w:val="00DB07BB"/>
    <w:rsid w:val="00DB149C"/>
    <w:rsid w:val="00DC55D8"/>
    <w:rsid w:val="00DC6BB8"/>
    <w:rsid w:val="00DD0EEC"/>
    <w:rsid w:val="00DD66A8"/>
    <w:rsid w:val="00DE5E0E"/>
    <w:rsid w:val="00DE7367"/>
    <w:rsid w:val="00DF3DF3"/>
    <w:rsid w:val="00DF4703"/>
    <w:rsid w:val="00DF7901"/>
    <w:rsid w:val="00E0176F"/>
    <w:rsid w:val="00E02A39"/>
    <w:rsid w:val="00E0357F"/>
    <w:rsid w:val="00E04230"/>
    <w:rsid w:val="00E058F8"/>
    <w:rsid w:val="00E068E6"/>
    <w:rsid w:val="00E07210"/>
    <w:rsid w:val="00E12FE7"/>
    <w:rsid w:val="00E17138"/>
    <w:rsid w:val="00E2205E"/>
    <w:rsid w:val="00E26E03"/>
    <w:rsid w:val="00E26F47"/>
    <w:rsid w:val="00E32C23"/>
    <w:rsid w:val="00E3356E"/>
    <w:rsid w:val="00E33C02"/>
    <w:rsid w:val="00E33E2D"/>
    <w:rsid w:val="00E340E9"/>
    <w:rsid w:val="00E35807"/>
    <w:rsid w:val="00E40180"/>
    <w:rsid w:val="00E43F6D"/>
    <w:rsid w:val="00E52578"/>
    <w:rsid w:val="00E528FF"/>
    <w:rsid w:val="00E5591C"/>
    <w:rsid w:val="00E57B63"/>
    <w:rsid w:val="00E6128D"/>
    <w:rsid w:val="00E64EC4"/>
    <w:rsid w:val="00E73395"/>
    <w:rsid w:val="00E734C3"/>
    <w:rsid w:val="00E73D3B"/>
    <w:rsid w:val="00E74095"/>
    <w:rsid w:val="00E80A6D"/>
    <w:rsid w:val="00E82A1D"/>
    <w:rsid w:val="00E926C1"/>
    <w:rsid w:val="00E93744"/>
    <w:rsid w:val="00E9549F"/>
    <w:rsid w:val="00EA0A25"/>
    <w:rsid w:val="00EA0F60"/>
    <w:rsid w:val="00EA55DC"/>
    <w:rsid w:val="00EA58DC"/>
    <w:rsid w:val="00EA77D8"/>
    <w:rsid w:val="00EA7F42"/>
    <w:rsid w:val="00EB2EC7"/>
    <w:rsid w:val="00EB3055"/>
    <w:rsid w:val="00EB6E71"/>
    <w:rsid w:val="00EC61D3"/>
    <w:rsid w:val="00EC6E4D"/>
    <w:rsid w:val="00ED1BD2"/>
    <w:rsid w:val="00ED2217"/>
    <w:rsid w:val="00ED27F1"/>
    <w:rsid w:val="00ED295F"/>
    <w:rsid w:val="00ED35FB"/>
    <w:rsid w:val="00ED762D"/>
    <w:rsid w:val="00EE390D"/>
    <w:rsid w:val="00EE7B59"/>
    <w:rsid w:val="00EF4F0C"/>
    <w:rsid w:val="00F03369"/>
    <w:rsid w:val="00F03AC1"/>
    <w:rsid w:val="00F0781E"/>
    <w:rsid w:val="00F114B5"/>
    <w:rsid w:val="00F1169A"/>
    <w:rsid w:val="00F12F0B"/>
    <w:rsid w:val="00F14625"/>
    <w:rsid w:val="00F230F8"/>
    <w:rsid w:val="00F2414B"/>
    <w:rsid w:val="00F25E18"/>
    <w:rsid w:val="00F30B30"/>
    <w:rsid w:val="00F32D17"/>
    <w:rsid w:val="00F359D9"/>
    <w:rsid w:val="00F46588"/>
    <w:rsid w:val="00F47C9A"/>
    <w:rsid w:val="00F5739D"/>
    <w:rsid w:val="00F60C86"/>
    <w:rsid w:val="00F67161"/>
    <w:rsid w:val="00F74157"/>
    <w:rsid w:val="00F74DF1"/>
    <w:rsid w:val="00F75E73"/>
    <w:rsid w:val="00F81990"/>
    <w:rsid w:val="00F857CE"/>
    <w:rsid w:val="00F86D54"/>
    <w:rsid w:val="00F95584"/>
    <w:rsid w:val="00F9591B"/>
    <w:rsid w:val="00F95B53"/>
    <w:rsid w:val="00FA6B12"/>
    <w:rsid w:val="00FA7F2C"/>
    <w:rsid w:val="00FB6432"/>
    <w:rsid w:val="00FB77A5"/>
    <w:rsid w:val="00FC5958"/>
    <w:rsid w:val="00FD3EB6"/>
    <w:rsid w:val="00FD6D4B"/>
    <w:rsid w:val="00FE1686"/>
    <w:rsid w:val="00FE1942"/>
    <w:rsid w:val="00FE1C00"/>
    <w:rsid w:val="00FE2E42"/>
    <w:rsid w:val="00FE5987"/>
    <w:rsid w:val="00FF3D89"/>
    <w:rsid w:val="00FF3E8B"/>
    <w:rsid w:val="00FF6F84"/>
    <w:rsid w:val="00FF7440"/>
    <w:rsid w:val="0313C6DA"/>
    <w:rsid w:val="0447D6F9"/>
    <w:rsid w:val="04CA25CB"/>
    <w:rsid w:val="0A6B1EE7"/>
    <w:rsid w:val="0C609EDE"/>
    <w:rsid w:val="10633AAD"/>
    <w:rsid w:val="1094BECD"/>
    <w:rsid w:val="16526B81"/>
    <w:rsid w:val="16AF36B7"/>
    <w:rsid w:val="16EDC043"/>
    <w:rsid w:val="187547E0"/>
    <w:rsid w:val="1AC70805"/>
    <w:rsid w:val="1ACE86D9"/>
    <w:rsid w:val="1D515D3E"/>
    <w:rsid w:val="2170B282"/>
    <w:rsid w:val="2429E3B2"/>
    <w:rsid w:val="2999F55C"/>
    <w:rsid w:val="2BE4D904"/>
    <w:rsid w:val="30CF40DD"/>
    <w:rsid w:val="320604B8"/>
    <w:rsid w:val="36031C3C"/>
    <w:rsid w:val="36199609"/>
    <w:rsid w:val="370F51CA"/>
    <w:rsid w:val="3919E9F6"/>
    <w:rsid w:val="3B31FF53"/>
    <w:rsid w:val="3D7DD9B6"/>
    <w:rsid w:val="41445289"/>
    <w:rsid w:val="441F16F1"/>
    <w:rsid w:val="45A1D124"/>
    <w:rsid w:val="46DC5914"/>
    <w:rsid w:val="46F51C73"/>
    <w:rsid w:val="4C4CBBD6"/>
    <w:rsid w:val="4CFD3161"/>
    <w:rsid w:val="4D1BAC6E"/>
    <w:rsid w:val="4E6E6332"/>
    <w:rsid w:val="50D90DEF"/>
    <w:rsid w:val="51FDC253"/>
    <w:rsid w:val="53E09472"/>
    <w:rsid w:val="54A0AEEA"/>
    <w:rsid w:val="59005749"/>
    <w:rsid w:val="5A3200D9"/>
    <w:rsid w:val="5E42D04A"/>
    <w:rsid w:val="5E9DAF59"/>
    <w:rsid w:val="61141A50"/>
    <w:rsid w:val="63450D11"/>
    <w:rsid w:val="66B245C3"/>
    <w:rsid w:val="6808F394"/>
    <w:rsid w:val="69BDEC52"/>
    <w:rsid w:val="6D8C5FAB"/>
    <w:rsid w:val="6EB6EC6D"/>
    <w:rsid w:val="70BF53AD"/>
    <w:rsid w:val="74F17407"/>
    <w:rsid w:val="773BA8C1"/>
    <w:rsid w:val="7CA86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44F9AB0D-8D3A-C044-AD55-654248B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643FA"/>
    <w:pPr>
      <w:ind w:left="720"/>
      <w:contextualSpacing/>
    </w:pPr>
    <w:rPr>
      <w:rFonts w:ascii="Times New Roman" w:eastAsia="SimSun" w:hAnsi="Times New Roman" w:cs="Times New Roman"/>
      <w:sz w:val="24"/>
      <w:lang w:eastAsia="zh-CN"/>
    </w:rPr>
  </w:style>
  <w:style w:type="paragraph" w:customStyle="1" w:styleId="paragraph">
    <w:name w:val="paragraph"/>
    <w:basedOn w:val="Normal"/>
    <w:rsid w:val="006049C0"/>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6049C0"/>
  </w:style>
  <w:style w:type="character" w:customStyle="1" w:styleId="eop">
    <w:name w:val="eop"/>
    <w:basedOn w:val="DefaultParagraphFont"/>
    <w:rsid w:val="0060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383271">
      <w:bodyDiv w:val="1"/>
      <w:marLeft w:val="0"/>
      <w:marRight w:val="0"/>
      <w:marTop w:val="0"/>
      <w:marBottom w:val="0"/>
      <w:divBdr>
        <w:top w:val="none" w:sz="0" w:space="0" w:color="auto"/>
        <w:left w:val="none" w:sz="0" w:space="0" w:color="auto"/>
        <w:bottom w:val="none" w:sz="0" w:space="0" w:color="auto"/>
        <w:right w:val="none" w:sz="0" w:space="0" w:color="auto"/>
      </w:divBdr>
    </w:div>
    <w:div w:id="1014306608">
      <w:bodyDiv w:val="1"/>
      <w:marLeft w:val="0"/>
      <w:marRight w:val="0"/>
      <w:marTop w:val="0"/>
      <w:marBottom w:val="0"/>
      <w:divBdr>
        <w:top w:val="none" w:sz="0" w:space="0" w:color="auto"/>
        <w:left w:val="none" w:sz="0" w:space="0" w:color="auto"/>
        <w:bottom w:val="none" w:sz="0" w:space="0" w:color="auto"/>
        <w:right w:val="none" w:sz="0" w:space="0" w:color="auto"/>
      </w:divBdr>
    </w:div>
    <w:div w:id="1074932329">
      <w:bodyDiv w:val="1"/>
      <w:marLeft w:val="0"/>
      <w:marRight w:val="0"/>
      <w:marTop w:val="0"/>
      <w:marBottom w:val="0"/>
      <w:divBdr>
        <w:top w:val="none" w:sz="0" w:space="0" w:color="auto"/>
        <w:left w:val="none" w:sz="0" w:space="0" w:color="auto"/>
        <w:bottom w:val="none" w:sz="0" w:space="0" w:color="auto"/>
        <w:right w:val="none" w:sz="0" w:space="0" w:color="auto"/>
      </w:divBdr>
      <w:divsChild>
        <w:div w:id="13283630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37639841">
              <w:marLeft w:val="0"/>
              <w:marRight w:val="0"/>
              <w:marTop w:val="0"/>
              <w:marBottom w:val="0"/>
              <w:divBdr>
                <w:top w:val="none" w:sz="0" w:space="0" w:color="auto"/>
                <w:left w:val="none" w:sz="0" w:space="0" w:color="auto"/>
                <w:bottom w:val="none" w:sz="0" w:space="0" w:color="auto"/>
                <w:right w:val="none" w:sz="0" w:space="0" w:color="auto"/>
              </w:divBdr>
              <w:divsChild>
                <w:div w:id="1371685842">
                  <w:marLeft w:val="0"/>
                  <w:marRight w:val="0"/>
                  <w:marTop w:val="0"/>
                  <w:marBottom w:val="0"/>
                  <w:divBdr>
                    <w:top w:val="none" w:sz="0" w:space="0" w:color="auto"/>
                    <w:left w:val="none" w:sz="0" w:space="0" w:color="auto"/>
                    <w:bottom w:val="none" w:sz="0" w:space="0" w:color="auto"/>
                    <w:right w:val="none" w:sz="0" w:space="0" w:color="auto"/>
                  </w:divBdr>
                  <w:divsChild>
                    <w:div w:id="4075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433912">
      <w:bodyDiv w:val="1"/>
      <w:marLeft w:val="0"/>
      <w:marRight w:val="0"/>
      <w:marTop w:val="0"/>
      <w:marBottom w:val="0"/>
      <w:divBdr>
        <w:top w:val="none" w:sz="0" w:space="0" w:color="auto"/>
        <w:left w:val="none" w:sz="0" w:space="0" w:color="auto"/>
        <w:bottom w:val="none" w:sz="0" w:space="0" w:color="auto"/>
        <w:right w:val="none" w:sz="0" w:space="0" w:color="auto"/>
      </w:divBdr>
      <w:divsChild>
        <w:div w:id="4155963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84808275">
              <w:marLeft w:val="0"/>
              <w:marRight w:val="0"/>
              <w:marTop w:val="0"/>
              <w:marBottom w:val="0"/>
              <w:divBdr>
                <w:top w:val="none" w:sz="0" w:space="0" w:color="auto"/>
                <w:left w:val="none" w:sz="0" w:space="0" w:color="auto"/>
                <w:bottom w:val="none" w:sz="0" w:space="0" w:color="auto"/>
                <w:right w:val="none" w:sz="0" w:space="0" w:color="auto"/>
              </w:divBdr>
              <w:divsChild>
                <w:div w:id="1054963570">
                  <w:marLeft w:val="0"/>
                  <w:marRight w:val="0"/>
                  <w:marTop w:val="0"/>
                  <w:marBottom w:val="0"/>
                  <w:divBdr>
                    <w:top w:val="none" w:sz="0" w:space="0" w:color="auto"/>
                    <w:left w:val="none" w:sz="0" w:space="0" w:color="auto"/>
                    <w:bottom w:val="none" w:sz="0" w:space="0" w:color="auto"/>
                    <w:right w:val="none" w:sz="0" w:space="0" w:color="auto"/>
                  </w:divBdr>
                  <w:divsChild>
                    <w:div w:id="21026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07676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05010379">
      <w:bodyDiv w:val="1"/>
      <w:marLeft w:val="0"/>
      <w:marRight w:val="0"/>
      <w:marTop w:val="0"/>
      <w:marBottom w:val="0"/>
      <w:divBdr>
        <w:top w:val="none" w:sz="0" w:space="0" w:color="auto"/>
        <w:left w:val="none" w:sz="0" w:space="0" w:color="auto"/>
        <w:bottom w:val="none" w:sz="0" w:space="0" w:color="auto"/>
        <w:right w:val="none" w:sz="0" w:space="0" w:color="auto"/>
      </w:divBdr>
      <w:divsChild>
        <w:div w:id="1620456807">
          <w:marLeft w:val="0"/>
          <w:marRight w:val="0"/>
          <w:marTop w:val="0"/>
          <w:marBottom w:val="0"/>
          <w:divBdr>
            <w:top w:val="none" w:sz="0" w:space="0" w:color="auto"/>
            <w:left w:val="none" w:sz="0" w:space="0" w:color="auto"/>
            <w:bottom w:val="none" w:sz="0" w:space="0" w:color="auto"/>
            <w:right w:val="none" w:sz="0" w:space="0" w:color="auto"/>
          </w:divBdr>
        </w:div>
        <w:div w:id="1375739519">
          <w:marLeft w:val="0"/>
          <w:marRight w:val="0"/>
          <w:marTop w:val="0"/>
          <w:marBottom w:val="0"/>
          <w:divBdr>
            <w:top w:val="none" w:sz="0" w:space="0" w:color="auto"/>
            <w:left w:val="none" w:sz="0" w:space="0" w:color="auto"/>
            <w:bottom w:val="none" w:sz="0" w:space="0" w:color="auto"/>
            <w:right w:val="none" w:sz="0" w:space="0" w:color="auto"/>
          </w:divBdr>
        </w:div>
      </w:divsChild>
    </w:div>
    <w:div w:id="20360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tbe.net" TargetMode="External"/><Relationship Id="rId18" Type="http://schemas.openxmlformats.org/officeDocument/2006/relationships/hyperlink" Target="mailto:noemie.galabru@witbe.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mailto:moe@202comms.com" TargetMode="External"/><Relationship Id="rId2" Type="http://schemas.openxmlformats.org/officeDocument/2006/relationships/customXml" Target="../customXml/item2.xml"/><Relationship Id="rId16" Type="http://schemas.openxmlformats.org/officeDocument/2006/relationships/hyperlink" Target="https://www.202commsc.om/Witbe/240926-Witbe-Bouygues_Telecom.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tbe.net/" TargetMode="External"/><Relationship Id="rId5" Type="http://schemas.openxmlformats.org/officeDocument/2006/relationships/styles" Target="styles.xml"/><Relationship Id="rId15" Type="http://schemas.openxmlformats.org/officeDocument/2006/relationships/hyperlink" Target="http://www.corporate.bouyguestelecom.fr/" TargetMode="External"/><Relationship Id="rId10" Type="http://schemas.openxmlformats.org/officeDocument/2006/relationships/image" Target="media/image1.png"/><Relationship Id="rId19" Type="http://schemas.openxmlformats.org/officeDocument/2006/relationships/hyperlink" Target="https://www.witb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uyguestele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ée un document." ma:contentTypeScope="" ma:versionID="6d7e72a2b66b22ae5a392b7ce91dfbef">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fcfdc54cb8433fb9bce46794df5e440c"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FA181A-70CC-4A46-9CF4-23AFD0E79A0C}"/>
</file>

<file path=customXml/itemProps2.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customXml/itemProps3.xml><?xml version="1.0" encoding="utf-8"?>
<ds:datastoreItem xmlns:ds="http://schemas.openxmlformats.org/officeDocument/2006/customXml" ds:itemID="{6A479344-8B47-4136-8E73-58242EF90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