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FE8C" w14:textId="212F0133">
      <w:r>
        <w:rPr>
          <w:rFonts w:ascii="Arial" w:hAnsi="Arial" w:cs="Arial"/>
          <w:spacing w:val="5"/>
          <w:sz w:val="32"/>
          <w:szCs w:val="32"/>
        </w:rPr>
        <w:t xml:space="preserve"> </w:t>
      </w:r>
    </w:p>
    <w:p w14:paraId="2797505B" w14:textId="77777777">
      <w:pPr>
        <w:pStyle w:val="Title1"/>
        <w:jc w:val="center"/>
        <w:rPr>
          <w:rFonts w:ascii="Arial" w:eastAsia="Arial" w:hAnsi="Arial" w:cs="Arial"/>
          <w:sz w:val="32"/>
          <w:szCs w:val="32"/>
        </w:rPr>
      </w:pPr>
    </w:p>
    <w:p w14:paraId="226A7959" w14:textId="77777777">
      <w:pPr>
        <w:pStyle w:val="Title1"/>
        <w:rPr>
          <w:rFonts w:ascii="Arial" w:eastAsia="Arial" w:hAnsi="Arial" w:cs="Arial"/>
          <w:sz w:val="32"/>
          <w:szCs w:val="32"/>
        </w:rPr>
      </w:pPr>
    </w:p>
    <w:p w14:paraId="77CC7188" w14:textId="77777777">
      <w:pPr>
        <w:pStyle w:val="Title1"/>
        <w:rPr>
          <w:rFonts w:ascii="Arial" w:eastAsia="Arial" w:hAnsi="Arial" w:cs="Arial"/>
          <w:sz w:val="32"/>
          <w:szCs w:val="32"/>
        </w:rPr>
      </w:pPr>
    </w:p>
    <w:p w14:paraId="64B967C1" w14:textId="052178D6">
      <w:pPr>
        <w:jc w:val="center"/>
        <w:rPr>
          <w:rFonts w:ascii="Arial" w:hAnsi="Arial" w:cs="Arial"/>
          <w:b/>
          <w:bCs/>
          <w:sz w:val="32"/>
          <w:szCs w:val="32"/>
        </w:rPr>
      </w:pPr>
      <w:r>
        <w:rPr>
          <w:rFonts w:ascii="Arial" w:hAnsi="Arial" w:cs="Arial"/>
          <w:b/>
          <w:bCs/>
          <w:sz w:val="32"/>
          <w:szCs w:val="32"/>
        </w:rPr>
        <w:t>Witbe Wins Two CSI Awards at IBC 2025 for Innovation in Video Monitoring and Data Analytics</w:t>
      </w:r>
    </w:p>
    <w:p w14:paraId="0ADF9C3D" w14:textId="3FDD45E9">
      <w:pPr>
        <w:rPr>
          <w:rFonts w:ascii="Arial" w:hAnsi="Arial" w:cs="Arial"/>
          <w:b/>
          <w:bCs/>
          <w:sz w:val="32"/>
          <w:szCs w:val="32"/>
        </w:rPr>
      </w:pPr>
    </w:p>
    <w:p w14:paraId="2AE5B126" w14:textId="1142297E">
      <w:pPr>
        <w:spacing w:line="360" w:lineRule="auto"/>
        <w:rPr>
          <w:rFonts w:ascii="Arial" w:hAnsi="Arial" w:cs="Arial"/>
          <w:sz w:val="22"/>
          <w:szCs w:val="22"/>
        </w:rPr>
      </w:pPr>
      <w:r>
        <w:rPr>
          <w:rFonts w:ascii="Arial" w:eastAsia="Times New Roman" w:hAnsi="Arial" w:cs="Arial"/>
          <w:b/>
          <w:bCs/>
          <w:color w:val="000000"/>
          <w:sz w:val="22"/>
          <w:szCs w:val="22"/>
          <w:shd w:val="clear" w:color="auto" w:fill="FFFFFF"/>
          <w:lang w:eastAsia="en-GB"/>
        </w:rPr>
        <w:t>NEW YORK</w:t>
      </w:r>
      <w:r>
        <w:rPr>
          <w:rFonts w:ascii="Arial" w:eastAsia="Times New Roman" w:hAnsi="Arial" w:cs="Arial"/>
          <w:b/>
          <w:bCs/>
          <w:color w:val="000000"/>
          <w:sz w:val="22"/>
          <w:szCs w:val="22"/>
          <w:shd w:val="clear" w:color="auto" w:fill="FFFFFF"/>
          <w:lang w:eastAsia="en-GB"/>
        </w:rPr>
        <w:t xml:space="preserve"> </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October</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9</w:t>
      </w:r>
      <w:r>
        <w:rPr>
          <w:rFonts w:ascii="Arial" w:eastAsia="Times New Roman" w:hAnsi="Arial" w:cs="Arial"/>
          <w:b/>
          <w:bCs/>
          <w:sz w:val="22"/>
          <w:szCs w:val="22"/>
          <w:lang w:eastAsia="en-GB"/>
        </w:rPr>
        <w:t>, 202</w:t>
      </w:r>
      <w:r>
        <w:rPr>
          <w:rFonts w:ascii="Arial" w:eastAsia="Times New Roman" w:hAnsi="Arial" w:cs="Arial"/>
          <w:b/>
          <w:bCs/>
          <w:sz w:val="22"/>
          <w:szCs w:val="22"/>
          <w:lang w:eastAsia="en-GB"/>
        </w:rPr>
        <w:t>5</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 xml:space="preserve"> </w:t>
      </w:r>
      <w:r>
        <w:rPr>
          <w:rFonts w:ascii="Arial" w:hAnsi="Arial" w:cs="Arial"/>
          <w:sz w:val="22"/>
          <w:szCs w:val="22"/>
        </w:rPr>
        <w:t>Witbe (Euronext Growth – FR0013143872 – ALWIT)</w:t>
      </w:r>
      <w:r>
        <w:rPr>
          <w:rFonts w:ascii="Arial" w:hAnsi="Arial" w:cs="Arial"/>
          <w:sz w:val="22"/>
          <w:szCs w:val="22"/>
        </w:rPr>
        <w:t>,</w:t>
      </w:r>
      <w:r>
        <w:rPr>
          <w:rFonts w:ascii="Arial" w:hAnsi="Arial" w:cs="Arial"/>
          <w:sz w:val="22"/>
          <w:szCs w:val="22"/>
        </w:rPr>
        <w:t xml:space="preserve"> t</w:t>
      </w:r>
      <w:r>
        <w:rPr>
          <w:rFonts w:ascii="Arial" w:hAnsi="Arial" w:cs="Arial"/>
          <w:sz w:val="22"/>
          <w:szCs w:val="22"/>
        </w:rPr>
        <w:t xml:space="preserve">he worldwide leader in test automation and proactive monitoring for video service providers, </w:t>
      </w:r>
      <w:r>
        <w:rPr>
          <w:rFonts w:ascii="Arial" w:hAnsi="Arial" w:cs="Arial"/>
          <w:sz w:val="22"/>
          <w:szCs w:val="22"/>
        </w:rPr>
        <w:t xml:space="preserve">today announced that it has won two prestigious CSI Awards for its Virtual NOC and Absolute End-to-End monitoring solutions. </w:t>
      </w:r>
      <w:r>
        <w:rPr>
          <w:rFonts w:ascii="Arial" w:hAnsi="Arial" w:cs="Arial"/>
          <w:sz w:val="22"/>
          <w:szCs w:val="22"/>
        </w:rPr>
        <w:t xml:space="preserve">These accolades reaffirm Witbe’s position as the provider of reference </w:t>
      </w:r>
      <w:r>
        <w:rPr>
          <w:rFonts w:ascii="Arial" w:hAnsi="Arial" w:cs="Arial"/>
          <w:sz w:val="22"/>
          <w:szCs w:val="22"/>
        </w:rPr>
        <w:t xml:space="preserve">in </w:t>
      </w:r>
      <w:r>
        <w:rPr>
          <w:rFonts w:ascii="Arial" w:hAnsi="Arial" w:cs="Arial"/>
          <w:sz w:val="22"/>
          <w:szCs w:val="22"/>
        </w:rPr>
        <w:t xml:space="preserve">both </w:t>
      </w:r>
      <w:r>
        <w:rPr>
          <w:rFonts w:ascii="Arial" w:hAnsi="Arial" w:cs="Arial"/>
          <w:b/>
          <w:bCs/>
          <w:sz w:val="22"/>
          <w:szCs w:val="22"/>
        </w:rPr>
        <w:t>Monitoring and Network Management solutions</w:t>
      </w:r>
      <w:r>
        <w:rPr>
          <w:rFonts w:ascii="Arial" w:hAnsi="Arial" w:cs="Arial"/>
          <w:sz w:val="22"/>
          <w:szCs w:val="22"/>
        </w:rPr>
        <w:t xml:space="preserve"> and </w:t>
      </w:r>
      <w:r>
        <w:rPr>
          <w:rFonts w:ascii="Arial" w:hAnsi="Arial" w:cs="Arial"/>
          <w:b/>
          <w:bCs/>
          <w:sz w:val="22"/>
          <w:szCs w:val="22"/>
        </w:rPr>
        <w:t>Data and Analytics solutions</w:t>
      </w:r>
      <w:r>
        <w:rPr>
          <w:rFonts w:ascii="Arial" w:hAnsi="Arial" w:cs="Arial"/>
          <w:sz w:val="22"/>
          <w:szCs w:val="22"/>
        </w:rPr>
        <w:t xml:space="preserve">. </w:t>
      </w:r>
      <w:r>
        <w:rPr>
          <w:rFonts w:ascii="Arial" w:hAnsi="Arial" w:cs="Arial"/>
          <w:sz w:val="22"/>
          <w:szCs w:val="22"/>
        </w:rPr>
        <w:t>They also highlight the company’s commitment to delivering innovative, reliable tools that empower operators to optimize video service performance and quality of experience (QoE).</w:t>
      </w:r>
    </w:p>
    <w:p w14:paraId="4F512F99" w14:textId="77777777">
      <w:pPr>
        <w:spacing w:line="360" w:lineRule="auto"/>
        <w:rPr>
          <w:rFonts w:ascii="Arial" w:hAnsi="Arial" w:cs="Arial"/>
          <w:sz w:val="22"/>
          <w:szCs w:val="22"/>
        </w:rPr>
      </w:pPr>
    </w:p>
    <w:p w14:paraId="0A1FBA87" w14:textId="59DFD7FB">
      <w:pPr>
        <w:spacing w:line="360" w:lineRule="auto"/>
        <w:rPr>
          <w:rFonts w:ascii="Arial" w:hAnsi="Arial" w:cs="Arial"/>
          <w:sz w:val="22"/>
          <w:szCs w:val="22"/>
          <w:lang w:val="en-GB"/>
        </w:rPr>
      </w:pPr>
      <w:r>
        <w:rPr>
          <w:rFonts w:ascii="Arial" w:hAnsi="Arial" w:cs="Arial"/>
          <w:sz w:val="22"/>
          <w:szCs w:val="22"/>
          <w:lang w:val="en-GB"/>
        </w:rPr>
        <w:t>Established in 2003, the CSI Awards are among the industry’s most prestigious honors, recognizing innovation and excellence across cable, satellite, broadcast, IPTV, telco, broadband/OTT video, mobile TV, and related sectors. Judged by an independent panel of experts, the awards celebrate the groundbreaking advancements that continue to shape the future of technology.</w:t>
      </w:r>
      <w:r>
        <w:rPr>
          <w:rFonts w:ascii="Arial" w:hAnsi="Arial" w:cs="Arial"/>
          <w:sz w:val="22"/>
          <w:szCs w:val="22"/>
          <w:lang w:val="en-GB"/>
        </w:rPr>
        <w:t xml:space="preserve"> </w:t>
      </w:r>
      <w:r>
        <w:rPr>
          <w:rFonts w:ascii="Arial" w:hAnsi="Arial" w:cs="Arial"/>
          <w:sz w:val="22"/>
          <w:szCs w:val="22"/>
          <w:lang w:val="en-GB"/>
        </w:rPr>
        <w:t>Witbe w</w:t>
      </w:r>
      <w:r>
        <w:rPr>
          <w:rFonts w:ascii="Arial" w:hAnsi="Arial" w:cs="Arial"/>
          <w:sz w:val="22"/>
          <w:szCs w:val="22"/>
          <w:lang w:val="en-GB"/>
        </w:rPr>
        <w:t xml:space="preserve">as a two-category winner: </w:t>
      </w:r>
    </w:p>
    <w:p w14:paraId="35F2BBE1" w14:textId="32FD0C1F">
      <w:pPr>
        <w:pStyle w:val="ListParagraph"/>
        <w:numPr>
          <w:ilvl w:val="0"/>
          <w:numId w:val="3"/>
        </w:numPr>
        <w:spacing w:line="360" w:lineRule="auto"/>
        <w:ind w:left="709"/>
        <w:rPr>
          <w:rFonts w:ascii="Arial" w:hAnsi="Arial" w:cs="Arial"/>
          <w:lang w:val="en-GB"/>
        </w:rPr>
      </w:pPr>
      <w:r>
        <w:rPr>
          <w:rFonts w:ascii="Arial" w:hAnsi="Arial" w:cs="Arial"/>
          <w:b/>
          <w:bCs/>
          <w:lang w:val="en-GB"/>
        </w:rPr>
        <w:t>Best Monitoring or Network Management Solution</w:t>
      </w:r>
      <w:r>
        <w:rPr>
          <w:rFonts w:ascii="Arial" w:hAnsi="Arial" w:cs="Arial"/>
          <w:lang w:val="en-GB"/>
        </w:rPr>
        <w:t xml:space="preserve"> for </w:t>
      </w:r>
      <w:r>
        <w:rPr>
          <w:rFonts w:ascii="Arial" w:hAnsi="Arial" w:cs="Arial"/>
          <w:i/>
          <w:iCs/>
          <w:lang w:val="en-GB"/>
        </w:rPr>
        <w:t>Absolute End-to-End Video Monitoring</w:t>
      </w:r>
      <w:r>
        <w:rPr>
          <w:rFonts w:ascii="Arial" w:hAnsi="Arial" w:cs="Arial"/>
          <w:lang w:val="en-GB"/>
        </w:rPr>
        <w:t xml:space="preserve">, </w:t>
      </w:r>
      <w:r>
        <w:rPr>
          <w:rFonts w:ascii="Arial" w:hAnsi="Arial" w:cs="Arial"/>
        </w:rPr>
        <w:t>developed in partnership with TAG Video Systems. This joint solution gives operators </w:t>
      </w:r>
      <w:r>
        <w:rPr>
          <w:rFonts w:ascii="Arial" w:hAnsi="Arial" w:cs="Arial"/>
          <w:b/>
          <w:bCs/>
        </w:rPr>
        <w:t>complete visibility across the entire video delivery chain</w:t>
      </w:r>
      <w:r>
        <w:rPr>
          <w:rFonts w:ascii="Arial" w:hAnsi="Arial" w:cs="Arial"/>
        </w:rPr>
        <w:t>, from source feed to the end-user device, ensuring that every stream meets strict performance, latency, and content quality standards.</w:t>
      </w:r>
    </w:p>
    <w:p w14:paraId="34974E22" w14:textId="2529CEB1">
      <w:pPr>
        <w:numPr>
          <w:ilvl w:val="0"/>
          <w:numId w:val="2"/>
        </w:numPr>
        <w:spacing w:line="360" w:lineRule="auto"/>
        <w:rPr>
          <w:rFonts w:ascii="Arial" w:hAnsi="Arial" w:cs="Arial"/>
          <w:sz w:val="22"/>
          <w:szCs w:val="22"/>
          <w:lang w:val="en-GB"/>
        </w:rPr>
      </w:pPr>
      <w:r>
        <w:rPr>
          <w:rFonts w:ascii="Arial" w:hAnsi="Arial" w:cs="Arial"/>
          <w:b/>
          <w:bCs/>
          <w:sz w:val="22"/>
          <w:szCs w:val="22"/>
          <w:lang w:val="en-GB"/>
        </w:rPr>
        <w:t>Best Data &amp; Analytics Solution</w:t>
      </w:r>
      <w:r>
        <w:rPr>
          <w:rFonts w:ascii="Arial" w:hAnsi="Arial" w:cs="Arial"/>
          <w:sz w:val="22"/>
          <w:szCs w:val="22"/>
          <w:lang w:val="en-GB"/>
        </w:rPr>
        <w:t xml:space="preserve"> for </w:t>
      </w:r>
      <w:r>
        <w:rPr>
          <w:rFonts w:ascii="Arial" w:hAnsi="Arial" w:cs="Arial"/>
          <w:i/>
          <w:iCs/>
          <w:sz w:val="22"/>
          <w:szCs w:val="22"/>
          <w:lang w:val="en-GB"/>
        </w:rPr>
        <w:t>Virtual NOC</w:t>
      </w:r>
      <w:r>
        <w:rPr>
          <w:rFonts w:ascii="Arial" w:hAnsi="Arial" w:cs="Arial"/>
          <w:sz w:val="22"/>
          <w:szCs w:val="22"/>
          <w:lang w:val="en-GB"/>
        </w:rPr>
        <w:t xml:space="preserve">, Witbe’s Remote Eye Controller </w:t>
      </w:r>
      <w:r>
        <w:rPr>
          <w:rFonts w:ascii="Arial" w:hAnsi="Arial" w:cs="Arial"/>
          <w:sz w:val="22"/>
          <w:szCs w:val="22"/>
          <w:lang w:val="en-GB"/>
        </w:rPr>
        <w:t xml:space="preserve">(REC) </w:t>
      </w:r>
      <w:r>
        <w:rPr>
          <w:rFonts w:ascii="Arial" w:hAnsi="Arial" w:cs="Arial"/>
          <w:sz w:val="22"/>
          <w:szCs w:val="22"/>
          <w:lang w:val="en-GB"/>
        </w:rPr>
        <w:t xml:space="preserve">application. </w:t>
      </w:r>
      <w:r>
        <w:rPr>
          <w:rFonts w:ascii="Arial" w:hAnsi="Arial" w:cs="Arial"/>
          <w:sz w:val="22"/>
          <w:szCs w:val="22"/>
        </w:rPr>
        <w:t>The Virtual NOC centralizes monitoring and analytics by allowing operators to </w:t>
      </w:r>
      <w:r>
        <w:rPr>
          <w:rFonts w:ascii="Arial" w:hAnsi="Arial" w:cs="Arial"/>
          <w:b/>
          <w:bCs/>
          <w:sz w:val="22"/>
          <w:szCs w:val="22"/>
        </w:rPr>
        <w:t>remotely test and control any real device</w:t>
      </w:r>
      <w:r>
        <w:rPr>
          <w:rFonts w:ascii="Arial" w:hAnsi="Arial" w:cs="Arial"/>
          <w:sz w:val="22"/>
          <w:szCs w:val="22"/>
        </w:rPr>
        <w:t> (set-top boxes, Smart TVs, mobile apps, and more), while accessing </w:t>
      </w:r>
      <w:r>
        <w:rPr>
          <w:rFonts w:ascii="Arial" w:hAnsi="Arial" w:cs="Arial"/>
          <w:b/>
          <w:bCs/>
          <w:sz w:val="22"/>
          <w:szCs w:val="22"/>
        </w:rPr>
        <w:t>live KPIs, alerts, video recordings, and historical data</w:t>
      </w:r>
      <w:r>
        <w:rPr>
          <w:rFonts w:ascii="Arial" w:hAnsi="Arial" w:cs="Arial"/>
          <w:sz w:val="22"/>
          <w:szCs w:val="22"/>
        </w:rPr>
        <w:t> through a single customizable interface.</w:t>
      </w:r>
      <w:r>
        <w:rPr>
          <w:rFonts w:ascii="Arial" w:hAnsi="Arial" w:cs="Arial"/>
          <w:sz w:val="22"/>
          <w:szCs w:val="22"/>
          <w:lang w:val="en-GB"/>
        </w:rPr>
        <w:t xml:space="preserve"> </w:t>
      </w:r>
    </w:p>
    <w:p w14:paraId="37E46674" w14:textId="77777777">
      <w:pPr>
        <w:spacing w:line="360" w:lineRule="auto"/>
        <w:ind w:left="720"/>
        <w:rPr>
          <w:rFonts w:ascii="Arial" w:hAnsi="Arial" w:cs="Arial"/>
          <w:sz w:val="22"/>
          <w:szCs w:val="22"/>
          <w:lang w:val="en-GB"/>
        </w:rPr>
      </w:pPr>
    </w:p>
    <w:p w14:paraId="46884CB6" w14:textId="74D928EA">
      <w:pPr>
        <w:spacing w:line="360" w:lineRule="auto"/>
        <w:rPr>
          <w:rFonts w:ascii="Arial" w:hAnsi="Arial" w:cs="Arial"/>
          <w:sz w:val="22"/>
          <w:szCs w:val="22"/>
        </w:rPr>
      </w:pPr>
      <w:r>
        <w:rPr>
          <w:rFonts w:ascii="Arial" w:hAnsi="Arial" w:cs="Arial"/>
          <w:sz w:val="22"/>
          <w:szCs w:val="22"/>
          <w:lang w:val="en-GB"/>
        </w:rPr>
        <w:t>“</w:t>
      </w:r>
      <w:r>
        <w:rPr>
          <w:rFonts w:ascii="Arial" w:hAnsi="Arial" w:cs="Arial"/>
          <w:sz w:val="22"/>
          <w:szCs w:val="22"/>
          <w:lang w:val="en-GB"/>
        </w:rPr>
        <w:t xml:space="preserve">Our </w:t>
      </w:r>
      <w:r>
        <w:rPr>
          <w:rFonts w:ascii="Arial" w:hAnsi="Arial" w:cs="Arial"/>
          <w:sz w:val="22"/>
          <w:szCs w:val="22"/>
          <w:lang w:val="en-GB"/>
        </w:rPr>
        <w:t>Virtual NOC and</w:t>
      </w:r>
      <w:r>
        <w:rPr>
          <w:rFonts w:ascii="Arial" w:hAnsi="Arial" w:cs="Arial"/>
          <w:sz w:val="22"/>
          <w:szCs w:val="22"/>
          <w:lang w:val="en-GB"/>
        </w:rPr>
        <w:t xml:space="preserve"> </w:t>
      </w:r>
      <w:r>
        <w:rPr>
          <w:rFonts w:ascii="Arial" w:hAnsi="Arial" w:cs="Arial"/>
          <w:sz w:val="22"/>
          <w:szCs w:val="22"/>
          <w:lang w:val="en-GB"/>
        </w:rPr>
        <w:t>our partnership with TAG</w:t>
      </w:r>
      <w:r>
        <w:rPr>
          <w:rFonts w:ascii="Arial" w:hAnsi="Arial" w:cs="Arial"/>
          <w:sz w:val="22"/>
          <w:szCs w:val="22"/>
          <w:lang w:val="en-GB"/>
        </w:rPr>
        <w:t xml:space="preserve"> </w:t>
      </w:r>
      <w:r>
        <w:rPr>
          <w:rFonts w:ascii="Arial" w:hAnsi="Arial" w:cs="Arial"/>
          <w:sz w:val="22"/>
          <w:szCs w:val="22"/>
          <w:lang w:val="en-GB"/>
        </w:rPr>
        <w:t>are great examples</w:t>
      </w:r>
      <w:r>
        <w:rPr>
          <w:rFonts w:ascii="Arial" w:hAnsi="Arial" w:cs="Arial"/>
          <w:sz w:val="22"/>
          <w:szCs w:val="22"/>
          <w:lang w:val="en-GB"/>
        </w:rPr>
        <w:t xml:space="preserve"> of</w:t>
      </w:r>
      <w:r>
        <w:rPr>
          <w:rFonts w:ascii="Arial" w:hAnsi="Arial" w:cs="Arial"/>
          <w:sz w:val="22"/>
          <w:szCs w:val="22"/>
          <w:lang w:val="en-GB"/>
        </w:rPr>
        <w:t xml:space="preserve"> </w:t>
      </w:r>
      <w:r>
        <w:rPr>
          <w:rFonts w:ascii="Arial" w:hAnsi="Arial" w:cs="Arial"/>
          <w:sz w:val="22"/>
          <w:szCs w:val="22"/>
        </w:rPr>
        <w:t>how we combine</w:t>
      </w:r>
      <w:r>
        <w:rPr>
          <w:rFonts w:ascii="Arial" w:hAnsi="Arial" w:cs="Arial"/>
          <w:b/>
          <w:bCs/>
          <w:sz w:val="22"/>
          <w:szCs w:val="22"/>
        </w:rPr>
        <w:t xml:space="preserve"> proactive monitoring,</w:t>
      </w:r>
      <w:r>
        <w:rPr>
          <w:rFonts w:ascii="Arial" w:hAnsi="Arial" w:cs="Arial"/>
          <w:b/>
          <w:bCs/>
          <w:sz w:val="22"/>
          <w:szCs w:val="22"/>
        </w:rPr>
        <w:t xml:space="preserve"> </w:t>
      </w:r>
      <w:r>
        <w:rPr>
          <w:rFonts w:ascii="Arial" w:hAnsi="Arial" w:cs="Arial"/>
          <w:b/>
          <w:bCs/>
          <w:sz w:val="22"/>
          <w:szCs w:val="22"/>
        </w:rPr>
        <w:t>video KPIs measured on real devices,</w:t>
      </w:r>
      <w:r>
        <w:rPr>
          <w:rFonts w:ascii="Arial" w:hAnsi="Arial" w:cs="Arial"/>
          <w:b/>
          <w:bCs/>
          <w:sz w:val="22"/>
          <w:szCs w:val="22"/>
        </w:rPr>
        <w:t xml:space="preserve"> and actionable analytics</w:t>
      </w:r>
      <w:r>
        <w:rPr>
          <w:rFonts w:ascii="Arial" w:hAnsi="Arial" w:cs="Arial"/>
          <w:sz w:val="22"/>
          <w:szCs w:val="22"/>
        </w:rPr>
        <w:t xml:space="preserve"> into one </w:t>
      </w:r>
      <w:r>
        <w:rPr>
          <w:rFonts w:ascii="Arial" w:hAnsi="Arial" w:cs="Arial"/>
          <w:sz w:val="22"/>
          <w:szCs w:val="22"/>
        </w:rPr>
        <w:t xml:space="preserve">unified </w:t>
      </w:r>
      <w:r>
        <w:rPr>
          <w:rFonts w:ascii="Arial" w:hAnsi="Arial" w:cs="Arial"/>
          <w:sz w:val="22"/>
          <w:szCs w:val="22"/>
        </w:rPr>
        <w:t>platform</w:t>
      </w:r>
      <w:r>
        <w:rPr>
          <w:rFonts w:ascii="Arial" w:hAnsi="Arial" w:cs="Arial"/>
          <w:sz w:val="22"/>
          <w:szCs w:val="22"/>
          <w:lang w:val="en-GB"/>
        </w:rPr>
        <w:t>,” said Mathieu Planche, CEO of Witbe. “</w:t>
      </w:r>
      <w:r>
        <w:rPr>
          <w:rFonts w:ascii="Arial" w:hAnsi="Arial" w:cs="Arial"/>
          <w:sz w:val="22"/>
          <w:szCs w:val="22"/>
        </w:rPr>
        <w:t xml:space="preserve">These awards validate our mission: to make </w:t>
      </w:r>
      <w:r>
        <w:rPr>
          <w:rFonts w:ascii="Arial" w:hAnsi="Arial" w:cs="Arial"/>
          <w:sz w:val="22"/>
          <w:szCs w:val="22"/>
        </w:rPr>
        <w:t xml:space="preserve">testing </w:t>
      </w:r>
      <w:r>
        <w:rPr>
          <w:rFonts w:ascii="Arial" w:hAnsi="Arial" w:cs="Arial"/>
          <w:sz w:val="22"/>
          <w:szCs w:val="22"/>
        </w:rPr>
        <w:t>video service</w:t>
      </w:r>
      <w:r>
        <w:rPr>
          <w:rFonts w:ascii="Arial" w:hAnsi="Arial" w:cs="Arial"/>
          <w:sz w:val="22"/>
          <w:szCs w:val="22"/>
        </w:rPr>
        <w:t>s</w:t>
      </w:r>
      <w:r>
        <w:rPr>
          <w:rFonts w:ascii="Arial" w:hAnsi="Arial" w:cs="Arial"/>
          <w:sz w:val="22"/>
          <w:szCs w:val="22"/>
        </w:rPr>
        <w:t xml:space="preserve"> smarter, </w:t>
      </w:r>
      <w:r>
        <w:rPr>
          <w:rFonts w:ascii="Arial" w:hAnsi="Arial" w:cs="Arial"/>
          <w:sz w:val="22"/>
          <w:szCs w:val="22"/>
        </w:rPr>
        <w:t>easier</w:t>
      </w:r>
      <w:r>
        <w:rPr>
          <w:rFonts w:ascii="Arial" w:hAnsi="Arial" w:cs="Arial"/>
          <w:sz w:val="22"/>
          <w:szCs w:val="22"/>
        </w:rPr>
        <w:t xml:space="preserve">, and more reliable, so operators can consistently deliver exceptional viewing experiences </w:t>
      </w:r>
      <w:r>
        <w:rPr>
          <w:rFonts w:ascii="Arial" w:hAnsi="Arial" w:cs="Arial"/>
          <w:sz w:val="22"/>
          <w:szCs w:val="22"/>
        </w:rPr>
        <w:t xml:space="preserve">to their end-users, </w:t>
      </w:r>
      <w:r>
        <w:rPr>
          <w:rFonts w:ascii="Arial" w:hAnsi="Arial" w:cs="Arial"/>
          <w:sz w:val="22"/>
          <w:szCs w:val="22"/>
        </w:rPr>
        <w:t>at scale.”</w:t>
      </w:r>
    </w:p>
    <w:p w14:paraId="1235B665" w14:textId="77777777">
      <w:pPr>
        <w:spacing w:line="360" w:lineRule="auto"/>
        <w:rPr>
          <w:rFonts w:ascii="Arial" w:hAnsi="Arial" w:cs="Arial"/>
          <w:sz w:val="22"/>
          <w:szCs w:val="22"/>
          <w:lang w:val="en-GB"/>
        </w:rPr>
      </w:pPr>
    </w:p>
    <w:p w14:paraId="1E1F7692" w14:textId="60B678A0">
      <w:pPr>
        <w:spacing w:line="360" w:lineRule="auto"/>
        <w:rPr>
          <w:rFonts w:ascii="Arial" w:hAnsi="Arial" w:cs="Arial"/>
          <w:sz w:val="22"/>
          <w:szCs w:val="22"/>
          <w:lang w:val="en-GB"/>
        </w:rPr>
      </w:pPr>
      <w:r>
        <w:rPr>
          <w:rFonts w:ascii="Arial" w:hAnsi="Arial" w:cs="Arial"/>
          <w:sz w:val="22"/>
          <w:szCs w:val="22"/>
        </w:rPr>
        <w:t>With these two awards, Witbe continues to build on its reputation as the trusted provider of </w:t>
      </w:r>
      <w:r>
        <w:rPr>
          <w:rFonts w:ascii="Arial" w:hAnsi="Arial" w:cs="Arial"/>
          <w:b/>
          <w:bCs/>
          <w:sz w:val="22"/>
          <w:szCs w:val="22"/>
        </w:rPr>
        <w:t xml:space="preserve">end-to-end </w:t>
      </w:r>
      <w:r>
        <w:rPr>
          <w:rFonts w:ascii="Arial" w:hAnsi="Arial" w:cs="Arial"/>
          <w:b/>
          <w:bCs/>
          <w:sz w:val="22"/>
          <w:szCs w:val="22"/>
        </w:rPr>
        <w:t xml:space="preserve">video </w:t>
      </w:r>
      <w:r>
        <w:rPr>
          <w:rFonts w:ascii="Arial" w:hAnsi="Arial" w:cs="Arial"/>
          <w:b/>
          <w:bCs/>
          <w:sz w:val="22"/>
          <w:szCs w:val="22"/>
        </w:rPr>
        <w:t xml:space="preserve">monitoring systems, network management tools, </w:t>
      </w:r>
      <w:r>
        <w:rPr>
          <w:rFonts w:ascii="Arial" w:hAnsi="Arial" w:cs="Arial"/>
          <w:b/>
          <w:bCs/>
          <w:sz w:val="22"/>
          <w:szCs w:val="22"/>
        </w:rPr>
        <w:t>QA test automation</w:t>
      </w:r>
      <w:r>
        <w:rPr>
          <w:rFonts w:ascii="Arial" w:hAnsi="Arial" w:cs="Arial"/>
          <w:b/>
          <w:bCs/>
          <w:sz w:val="22"/>
          <w:szCs w:val="22"/>
        </w:rPr>
        <w:t>,</w:t>
      </w:r>
      <w:r>
        <w:rPr>
          <w:rFonts w:ascii="Arial" w:hAnsi="Arial" w:cs="Arial"/>
          <w:b/>
          <w:bCs/>
          <w:sz w:val="22"/>
          <w:szCs w:val="22"/>
        </w:rPr>
        <w:t xml:space="preserve"> </w:t>
      </w:r>
      <w:r>
        <w:rPr>
          <w:rFonts w:ascii="Arial" w:hAnsi="Arial" w:cs="Arial"/>
          <w:b/>
          <w:bCs/>
          <w:sz w:val="22"/>
          <w:szCs w:val="22"/>
        </w:rPr>
        <w:t>and advanced analytics solutions</w:t>
      </w:r>
      <w:r>
        <w:rPr>
          <w:rFonts w:ascii="Arial" w:hAnsi="Arial" w:cs="Arial"/>
          <w:sz w:val="22"/>
          <w:szCs w:val="22"/>
        </w:rPr>
        <w:t> for the global video industry.</w:t>
      </w:r>
    </w:p>
    <w:p w14:paraId="2D2CBB1C" w14:textId="77777777">
      <w:pPr>
        <w:spacing w:line="360" w:lineRule="auto"/>
        <w:rPr>
          <w:rFonts w:ascii="Arial" w:hAnsi="Arial" w:cs="Arial"/>
          <w:sz w:val="22"/>
          <w:szCs w:val="22"/>
          <w:lang w:val="en-GB"/>
        </w:rPr>
      </w:pPr>
    </w:p>
    <w:p w14:paraId="75F3C95E" w14:textId="0BE46E4C">
      <w:pPr>
        <w:spacing w:line="360" w:lineRule="auto"/>
        <w:rPr>
          <w:rFonts w:ascii="Arial" w:hAnsi="Arial" w:cs="Arial"/>
          <w:sz w:val="22"/>
          <w:szCs w:val="22"/>
          <w:lang w:val="en-GB"/>
        </w:rPr>
      </w:pPr>
      <w:r>
        <w:rPr>
          <w:rFonts w:ascii="Arial" w:hAnsi="Arial" w:cs="Arial"/>
          <w:sz w:val="22"/>
          <w:szCs w:val="22"/>
          <w:lang w:val="en-GB"/>
        </w:rPr>
        <w:t xml:space="preserve">For more information about Witbe and its award-winning monitoring solutions, visit </w:t>
      </w:r>
      <w:hyperlink r:id="rId10" w:tgtFrame="_new" w:history="1">
        <w:r>
          <w:rPr>
            <w:rStyle w:val="Hyperlink"/>
            <w:rFonts w:ascii="Arial" w:hAnsi="Arial" w:cs="Arial"/>
            <w:sz w:val="22"/>
            <w:szCs w:val="22"/>
            <w:lang w:val="en-GB"/>
          </w:rPr>
          <w:t>www.witbe.net</w:t>
        </w:r>
      </w:hyperlink>
      <w:r>
        <w:rPr>
          <w:rFonts w:ascii="Arial" w:hAnsi="Arial" w:cs="Arial"/>
          <w:sz w:val="22"/>
          <w:szCs w:val="22"/>
          <w:lang w:val="en-GB"/>
        </w:rPr>
        <w:t>.</w:t>
      </w:r>
    </w:p>
    <w:p w14:paraId="498B3C35" w14:textId="29BB276E">
      <w:pPr>
        <w:spacing w:line="360" w:lineRule="auto"/>
        <w:jc w:val="center"/>
        <w:rPr>
          <w:rFonts w:ascii="Arial" w:eastAsia="Arial" w:hAnsi="Arial" w:cs="Arial"/>
          <w:color w:val="000000" w:themeColor="text1"/>
          <w:sz w:val="22"/>
          <w:szCs w:val="22"/>
        </w:rPr>
      </w:pPr>
      <w:r>
        <w:rPr>
          <w:rFonts w:ascii="Arial" w:eastAsia="Arial" w:hAnsi="Arial" w:cs="Arial"/>
          <w:color w:val="000000" w:themeColor="text1"/>
          <w:sz w:val="22"/>
          <w:szCs w:val="22"/>
        </w:rPr>
        <w:t># # #</w:t>
      </w:r>
    </w:p>
    <w:p w14:paraId="00814645" w14:textId="77777777">
      <w:pPr>
        <w:pStyle w:val="Title2"/>
        <w:rPr>
          <w:rFonts w:ascii="Arial" w:eastAsia="Arial" w:hAnsi="Arial"/>
          <w:sz w:val="20"/>
          <w:szCs w:val="20"/>
          <w:lang w:val="en-US"/>
        </w:rPr>
      </w:pPr>
      <w:r>
        <w:rPr>
          <w:rFonts w:ascii="Arial" w:eastAsia="Arial" w:hAnsi="Arial"/>
          <w:sz w:val="20"/>
          <w:szCs w:val="20"/>
          <w:lang w:val="en-US"/>
        </w:rPr>
        <w:t>About Witbe (</w:t>
      </w:r>
      <w:hyperlink r:id="rId11" w:history="1">
        <w:r>
          <w:rPr>
            <w:rStyle w:val="Hyperlink"/>
            <w:rFonts w:ascii="Arial" w:eastAsia="Arial" w:hAnsi="Arial"/>
            <w:sz w:val="20"/>
            <w:szCs w:val="20"/>
            <w:lang w:val="en-US"/>
          </w:rPr>
          <w:t>www.witbe.net</w:t>
        </w:r>
      </w:hyperlink>
      <w:r>
        <w:rPr>
          <w:rFonts w:ascii="Arial" w:eastAsia="Arial" w:hAnsi="Arial"/>
          <w:sz w:val="20"/>
          <w:szCs w:val="20"/>
          <w:lang w:val="en-US"/>
        </w:rPr>
        <w:t>)</w:t>
      </w:r>
    </w:p>
    <w:p w14:paraId="0CF59F28" w14:textId="77777777">
      <w:pPr>
        <w:pStyle w:val="Title2"/>
        <w:rPr>
          <w:rFonts w:ascii="Arial" w:hAnsi="Arial"/>
          <w:b w:val="0"/>
          <w:bCs w:val="0"/>
          <w:sz w:val="20"/>
          <w:szCs w:val="20"/>
        </w:rPr>
      </w:pPr>
      <w:r>
        <w:rPr>
          <w:rFonts w:ascii="Arial" w:hAnsi="Arial"/>
          <w:b w:val="0"/>
          <w:bCs w:val="0"/>
          <w:sz w:val="20"/>
          <w:szCs w:val="20"/>
        </w:rPr>
        <w:t xml:space="preserve">Witbe (Euronext Growth - FR0013143872 - ALWIT) provides post-device automated testing and real-time monitoring solutions that empower broadcasters, cable operators, and video service providers to deliver high-quality viewing experiences on any device: from set-top boxes and Smart TVs to mobile phones and tablets. </w:t>
      </w:r>
    </w:p>
    <w:p w14:paraId="45E7765B" w14:textId="77777777">
      <w:pPr>
        <w:pStyle w:val="Title2"/>
        <w:rPr>
          <w:rFonts w:ascii="Arial" w:hAnsi="Arial"/>
          <w:b w:val="0"/>
          <w:bCs w:val="0"/>
          <w:sz w:val="20"/>
          <w:szCs w:val="20"/>
        </w:rPr>
      </w:pPr>
    </w:p>
    <w:p w14:paraId="5BB45D12" w14:textId="77777777">
      <w:pPr>
        <w:pStyle w:val="Title2"/>
        <w:rPr>
          <w:rFonts w:ascii="Arial" w:hAnsi="Arial"/>
          <w:b w:val="0"/>
          <w:bCs w:val="0"/>
          <w:sz w:val="20"/>
          <w:szCs w:val="20"/>
        </w:rPr>
      </w:pPr>
      <w:r>
        <w:rPr>
          <w:rFonts w:ascii="Arial" w:hAnsi="Arial"/>
          <w:b w:val="0"/>
          <w:bCs w:val="0"/>
          <w:sz w:val="20"/>
          <w:szCs w:val="20"/>
        </w:rPr>
        <w:t>Using Witbox robots and the Witbe Software Suite, teams can replicate real user behavior on real devices to test, monitor, and analyze video app availability, quality and performance, all with actionable insights from Witbe’s observability platform.</w:t>
      </w:r>
    </w:p>
    <w:p w14:paraId="3163577A" w14:textId="77777777">
      <w:pPr>
        <w:pStyle w:val="Title2"/>
        <w:rPr>
          <w:rFonts w:ascii="Arial" w:hAnsi="Arial"/>
          <w:b w:val="0"/>
          <w:bCs w:val="0"/>
          <w:sz w:val="20"/>
          <w:szCs w:val="20"/>
        </w:rPr>
      </w:pPr>
    </w:p>
    <w:p w14:paraId="4B1FB84A" w14:textId="77777777">
      <w:pPr>
        <w:pStyle w:val="Title2"/>
        <w:rPr>
          <w:rFonts w:ascii="Arial" w:hAnsi="Arial"/>
          <w:b w:val="0"/>
          <w:bCs w:val="0"/>
          <w:sz w:val="20"/>
          <w:szCs w:val="20"/>
        </w:rPr>
      </w:pPr>
      <w:r>
        <w:rPr>
          <w:rFonts w:ascii="Arial" w:hAnsi="Arial"/>
          <w:b w:val="0"/>
          <w:bCs w:val="0"/>
          <w:sz w:val="20"/>
          <w:szCs w:val="20"/>
        </w:rPr>
        <w:t>The company’s latest breakthrough is Witbe Agentic AI, the industry’s first agent-native Test Automation system for Video QA and service monitoring. As Gen AI reshapes the industry, Witbe’s autonomous agents test at the speed of innovation: they plan, execute, and analyze tests at scale, adapt to multiple versions and UI changes, generate coverage from requirements, and continuously improve error detection.</w:t>
      </w:r>
    </w:p>
    <w:p w14:paraId="1AEDC7FA" w14:textId="77777777">
      <w:pPr>
        <w:pStyle w:val="Title2"/>
        <w:rPr>
          <w:rFonts w:ascii="Arial" w:hAnsi="Arial"/>
          <w:b w:val="0"/>
          <w:bCs w:val="0"/>
          <w:sz w:val="20"/>
          <w:szCs w:val="20"/>
        </w:rPr>
      </w:pPr>
    </w:p>
    <w:p w14:paraId="5D738B9E" w14:textId="1E27F260">
      <w:pPr>
        <w:pStyle w:val="Title2"/>
        <w:rPr>
          <w:rFonts w:ascii="Arial" w:hAnsi="Arial"/>
          <w:b w:val="0"/>
          <w:bCs w:val="0"/>
          <w:sz w:val="20"/>
          <w:szCs w:val="20"/>
        </w:rPr>
      </w:pPr>
      <w:r>
        <w:rPr>
          <w:rFonts w:ascii="Arial" w:hAnsi="Arial"/>
          <w:b w:val="0"/>
          <w:bCs w:val="0"/>
          <w:sz w:val="20"/>
          <w:szCs w:val="20"/>
        </w:rPr>
        <w:t>Celebrating its 25</w:t>
      </w:r>
      <w:r>
        <w:rPr>
          <w:rFonts w:ascii="Arial" w:hAnsi="Arial"/>
          <w:b w:val="0"/>
          <w:bCs w:val="0"/>
          <w:sz w:val="20"/>
          <w:szCs w:val="20"/>
          <w:vertAlign w:val="superscript"/>
        </w:rPr>
        <w:t>th</w:t>
      </w:r>
      <w:r>
        <w:rPr>
          <w:rFonts w:ascii="Arial" w:hAnsi="Arial"/>
          <w:b w:val="0"/>
          <w:bCs w:val="0"/>
          <w:sz w:val="20"/>
          <w:szCs w:val="20"/>
        </w:rPr>
        <w:t xml:space="preserve"> anniversary in 2025, Witbe operates worldwide and is trusted by leading brands such as Comcast, Cox, Verizon, Peacock, and Orange in over 50 countries. Learn more at </w:t>
      </w:r>
      <w:hyperlink r:id="rId12">
        <w:r>
          <w:rPr>
            <w:rStyle w:val="Hyperlink"/>
            <w:rFonts w:ascii="Arial" w:hAnsi="Arial"/>
            <w:b w:val="0"/>
            <w:bCs w:val="0"/>
            <w:sz w:val="20"/>
            <w:szCs w:val="20"/>
          </w:rPr>
          <w:t>www.witbe.net</w:t>
        </w:r>
      </w:hyperlink>
      <w:r>
        <w:rPr>
          <w:rFonts w:ascii="Arial" w:hAnsi="Arial"/>
          <w:b w:val="0"/>
          <w:bCs w:val="0"/>
          <w:sz w:val="20"/>
          <w:szCs w:val="20"/>
        </w:rPr>
        <w:t xml:space="preserve"> </w:t>
      </w:r>
      <w:r>
        <w:br/>
      </w:r>
      <w:r>
        <w:rPr>
          <w:rFonts w:ascii="Arial" w:hAnsi="Arial"/>
          <w:sz w:val="20"/>
          <w:szCs w:val="20"/>
        </w:rPr>
        <w:t xml:space="preserve"> </w:t>
      </w:r>
      <w:r>
        <w:br/>
      </w:r>
    </w:p>
    <w:p w14:paraId="70CC0038" w14:textId="0D10ECC5">
      <w:pPr>
        <w:rPr>
          <w:rFonts w:ascii="Arial" w:hAnsi="Arial" w:cs="Arial"/>
          <w:sz w:val="20"/>
          <w:szCs w:val="20"/>
        </w:rPr>
      </w:pPr>
      <w:r>
        <w:rPr>
          <w:rFonts w:ascii="Arial" w:eastAsia="Arial" w:hAnsi="Arial" w:cs="Arial"/>
          <w:b/>
          <w:bCs/>
          <w:color w:val="000000" w:themeColor="text1"/>
          <w:sz w:val="20"/>
          <w:szCs w:val="20"/>
        </w:rPr>
        <w:t>Link to photo 1:</w:t>
      </w:r>
      <w:r>
        <w:rPr>
          <w:rFonts w:ascii="Arial" w:hAnsi="Arial" w:cs="Arial"/>
          <w:sz w:val="20"/>
          <w:szCs w:val="20"/>
        </w:rPr>
        <w:t xml:space="preserve"> </w:t>
      </w:r>
      <w:hyperlink r:id="rId13">
        <w:r>
          <w:rPr>
            <w:rStyle w:val="Hyperlink"/>
            <w:rFonts w:ascii="Arial" w:hAnsi="Arial" w:cs="Arial"/>
            <w:sz w:val="20"/>
            <w:szCs w:val="20"/>
          </w:rPr>
          <w:t>Witbe wins two CSI Awards at IBC 2025.jpg</w:t>
        </w:r>
      </w:hyperlink>
    </w:p>
    <w:p w14:paraId="1BD71FBF" w14:textId="45800C21">
      <w:pPr>
        <w:rPr>
          <w:rFonts w:ascii="Arial" w:eastAsia="Times New Roman" w:hAnsi="Arial" w:cs="Arial"/>
          <w:color w:val="000000"/>
          <w:sz w:val="20"/>
          <w:szCs w:val="20"/>
          <w:lang w:val="en-GB" w:eastAsia="en-GB"/>
        </w:rPr>
      </w:pPr>
      <w:r>
        <w:rPr>
          <w:rFonts w:ascii="Arial" w:eastAsia="Arial" w:hAnsi="Arial" w:cs="Arial"/>
          <w:b/>
          <w:bCs/>
          <w:color w:val="000000" w:themeColor="text1"/>
          <w:sz w:val="20"/>
          <w:szCs w:val="20"/>
        </w:rPr>
        <w:t>Photo Caption:</w:t>
      </w:r>
      <w:r>
        <w:rPr>
          <w:rFonts w:ascii="Arial" w:hAnsi="Arial" w:cs="Arial"/>
          <w:sz w:val="20"/>
          <w:szCs w:val="20"/>
        </w:rPr>
        <w:t xml:space="preserve"> </w:t>
      </w:r>
      <w:r>
        <w:rPr>
          <w:rFonts w:ascii="Arial" w:hAnsi="Arial" w:cs="Arial"/>
          <w:sz w:val="20"/>
          <w:szCs w:val="20"/>
        </w:rPr>
        <w:t xml:space="preserve">The two CSI Awards </w:t>
      </w:r>
      <w:r>
        <w:rPr>
          <w:rFonts w:ascii="Arial" w:hAnsi="Arial" w:cs="Arial"/>
          <w:sz w:val="20"/>
          <w:szCs w:val="20"/>
        </w:rPr>
        <w:t xml:space="preserve">2025 </w:t>
      </w:r>
      <w:r>
        <w:rPr>
          <w:rFonts w:ascii="Arial" w:hAnsi="Arial" w:cs="Arial"/>
          <w:sz w:val="20"/>
          <w:szCs w:val="20"/>
        </w:rPr>
        <w:t>Witbe won</w:t>
      </w:r>
      <w:r>
        <w:rPr>
          <w:rFonts w:ascii="Arial" w:hAnsi="Arial" w:cs="Arial"/>
          <w:sz w:val="20"/>
          <w:szCs w:val="20"/>
        </w:rPr>
        <w:t xml:space="preserve"> </w:t>
      </w:r>
      <w:r>
        <w:rPr>
          <w:rFonts w:ascii="Arial" w:hAnsi="Arial" w:cs="Arial"/>
          <w:sz w:val="20"/>
          <w:szCs w:val="20"/>
        </w:rPr>
        <w:t xml:space="preserve">for </w:t>
      </w:r>
      <w:r>
        <w:rPr>
          <w:rFonts w:ascii="Arial" w:hAnsi="Arial" w:cs="Arial"/>
          <w:sz w:val="20"/>
          <w:szCs w:val="20"/>
        </w:rPr>
        <w:t>Best Monitoring or Network Management Solution and Best Data &amp; Analytics Solution.</w:t>
      </w:r>
    </w:p>
    <w:p w14:paraId="63A8C1F9" w14:textId="7E5E1A45">
      <w:pPr>
        <w:rPr>
          <w:rFonts w:ascii="Arial" w:eastAsia="Arial" w:hAnsi="Arial" w:cs="Arial"/>
          <w:b/>
          <w:bCs/>
          <w:color w:val="000000" w:themeColor="text1"/>
          <w:sz w:val="20"/>
          <w:szCs w:val="20"/>
        </w:rPr>
      </w:pPr>
    </w:p>
    <w:p w14:paraId="5E336A13" w14:textId="67512812">
      <w:pPr>
        <w:rPr>
          <w:rFonts w:ascii="Arial" w:eastAsia="Arial" w:hAnsi="Arial" w:cs="Arial"/>
          <w:sz w:val="20"/>
          <w:szCs w:val="20"/>
          <w:lang w:val="en-GB"/>
        </w:rPr>
      </w:pPr>
      <w:r>
        <w:rPr>
          <w:rFonts w:ascii="Arial" w:eastAsia="Arial" w:hAnsi="Arial" w:cs="Arial"/>
          <w:b/>
          <w:bCs/>
          <w:color w:val="000000" w:themeColor="text1"/>
          <w:sz w:val="20"/>
          <w:szCs w:val="20"/>
          <w:lang w:val="en-GB"/>
        </w:rPr>
        <w:t>Link to photo</w:t>
      </w:r>
      <w:r>
        <w:rPr>
          <w:rFonts w:ascii="Arial" w:eastAsia="Arial" w:hAnsi="Arial" w:cs="Arial"/>
          <w:b/>
          <w:bCs/>
          <w:color w:val="000000" w:themeColor="text1"/>
          <w:sz w:val="20"/>
          <w:szCs w:val="20"/>
          <w:lang w:val="en-GB"/>
        </w:rPr>
        <w:t xml:space="preserve"> 2</w:t>
      </w:r>
      <w:r>
        <w:rPr>
          <w:rFonts w:ascii="Arial" w:eastAsia="Arial" w:hAnsi="Arial" w:cs="Arial"/>
          <w:b/>
          <w:bCs/>
          <w:color w:val="000000" w:themeColor="text1"/>
          <w:sz w:val="20"/>
          <w:szCs w:val="20"/>
          <w:lang w:val="en-GB"/>
        </w:rPr>
        <w:t>:</w:t>
      </w:r>
      <w:r>
        <w:rPr>
          <w:rFonts w:ascii="Arial" w:eastAsia="Arial" w:hAnsi="Arial" w:cs="Arial"/>
          <w:b/>
          <w:bCs/>
          <w:color w:val="000000" w:themeColor="text1"/>
          <w:sz w:val="20"/>
          <w:szCs w:val="20"/>
          <w:lang w:val="en-GB"/>
        </w:rPr>
        <w:t xml:space="preserve"> </w:t>
      </w:r>
      <w:hyperlink r:id="rId14">
        <w:r>
          <w:rPr>
            <w:rStyle w:val="Hyperlink"/>
            <w:rFonts w:ascii="Arial" w:eastAsia="Arial" w:hAnsi="Arial" w:cs="Arial"/>
            <w:sz w:val="20"/>
            <w:szCs w:val="20"/>
            <w:lang w:val="en-GB"/>
          </w:rPr>
          <w:t>Witbe</w:t>
        </w:r>
        <w:r>
          <w:rPr>
            <w:rStyle w:val="Hyperlink"/>
            <w:rFonts w:ascii="Arial" w:eastAsia="Arial" w:hAnsi="Arial" w:cs="Arial"/>
            <w:sz w:val="20"/>
            <w:szCs w:val="20"/>
            <w:lang w:val="en-GB"/>
          </w:rPr>
          <w:t xml:space="preserve"> CSI Awards 2025 </w:t>
        </w:r>
        <w:r>
          <w:rPr>
            <w:rStyle w:val="Hyperlink"/>
            <w:rFonts w:ascii="Arial" w:eastAsia="Arial" w:hAnsi="Arial" w:cs="Arial"/>
            <w:sz w:val="20"/>
            <w:szCs w:val="20"/>
            <w:lang w:val="en-GB"/>
          </w:rPr>
          <w:t>Best data and analytics solution.jpg</w:t>
        </w:r>
      </w:hyperlink>
    </w:p>
    <w:p w14:paraId="79CC4E31" w14:textId="6D6D7A5C">
      <w:pPr>
        <w:rPr>
          <w:rFonts w:ascii="Arial" w:eastAsia="Times New Roman" w:hAnsi="Arial" w:cs="Arial"/>
          <w:color w:val="000000"/>
          <w:sz w:val="20"/>
          <w:szCs w:val="20"/>
          <w:lang w:val="en-GB" w:eastAsia="en-GB"/>
        </w:rPr>
      </w:pPr>
      <w:r>
        <w:rPr>
          <w:rFonts w:ascii="Arial" w:eastAsia="Arial" w:hAnsi="Arial" w:cs="Arial"/>
          <w:b/>
          <w:bCs/>
          <w:color w:val="000000" w:themeColor="text1"/>
          <w:sz w:val="20"/>
          <w:szCs w:val="20"/>
          <w:lang w:val="en-GB"/>
        </w:rPr>
        <w:t>Photo Caption:</w:t>
      </w:r>
      <w:r>
        <w:rPr>
          <w:rFonts w:ascii="Arial" w:hAnsi="Arial" w:cs="Arial"/>
          <w:sz w:val="20"/>
          <w:szCs w:val="20"/>
          <w:lang w:val="en-GB"/>
        </w:rPr>
        <w:t xml:space="preserve"> </w:t>
      </w:r>
      <w:r>
        <w:rPr>
          <w:rFonts w:ascii="Arial" w:hAnsi="Arial" w:cs="Arial"/>
          <w:sz w:val="20"/>
          <w:szCs w:val="20"/>
        </w:rPr>
        <w:t xml:space="preserve">From left to right: Yoann Hinard, Witbe COO; Marie-Véronique Lacaze, Witbe President, holding one of the two CSI Awards </w:t>
      </w:r>
      <w:r>
        <w:rPr>
          <w:rFonts w:ascii="Arial" w:hAnsi="Arial" w:cs="Arial"/>
          <w:sz w:val="20"/>
          <w:szCs w:val="20"/>
        </w:rPr>
        <w:t xml:space="preserve">Witbe </w:t>
      </w:r>
      <w:r>
        <w:rPr>
          <w:rFonts w:ascii="Arial" w:hAnsi="Arial" w:cs="Arial"/>
          <w:sz w:val="20"/>
          <w:szCs w:val="20"/>
        </w:rPr>
        <w:t>won that evening; Mathieu Planche, Witbe CEO; and Goran Nastic, Editor of CSI Magazine, at the CSI Awards 2025 ceremony held in Amsterdam, Netherlands, on September 12, 2025.</w:t>
      </w:r>
    </w:p>
    <w:p w14:paraId="3B3B64D6" w14:textId="77777777">
      <w:pPr>
        <w:rPr>
          <w:rFonts w:ascii="Arial" w:hAnsi="Arial" w:cs="Arial"/>
          <w:b/>
          <w:sz w:val="20"/>
          <w:szCs w:val="20"/>
          <w:lang w:val="en-GB"/>
        </w:rPr>
      </w:pPr>
    </w:p>
    <w:tbl>
      <w:tblPr>
        <w:tblW w:w="11283" w:type="dxa"/>
        <w:tblInd w:w="-90" w:type="dxa"/>
        <w:tblCellMar>
          <w:left w:w="0" w:type="dxa"/>
          <w:right w:w="0" w:type="dxa"/>
        </w:tblCellMar>
        <w:tblLook w:val="04A0" w:firstRow="1" w:lastRow="0" w:firstColumn="1" w:lastColumn="0" w:noHBand="0" w:noVBand="1"/>
      </w:tblPr>
      <w:tblGrid>
        <w:gridCol w:w="4050"/>
        <w:gridCol w:w="4115"/>
        <w:gridCol w:w="3118"/>
      </w:tblGrid>
      <w:tr w14:paraId="3E3D7C5D" w14:textId="77777777">
        <w:trPr>
          <w:trHeight w:val="1303"/>
        </w:trPr>
        <w:tc>
          <w:tcPr>
            <w:tcW w:w="4050" w:type="dxa"/>
            <w:tcMar>
              <w:top w:w="5" w:type="dxa"/>
              <w:left w:w="113" w:type="dxa"/>
              <w:bottom w:w="5" w:type="dxa"/>
              <w:right w:w="113" w:type="dxa"/>
            </w:tcMar>
            <w:hideMark/>
          </w:tcPr>
          <w:p w14:paraId="709839BC" w14:textId="7F5D441A">
            <w:pPr>
              <w:ind w:right="-678"/>
              <w:rPr>
                <w:rFonts w:ascii="Arial" w:hAnsi="Arial" w:cs="Arial"/>
                <w:color w:val="000000"/>
                <w:sz w:val="20"/>
                <w:szCs w:val="20"/>
              </w:rPr>
            </w:pPr>
            <w:r>
              <w:rPr>
                <w:rFonts w:ascii="Arial" w:eastAsia="Arial" w:hAnsi="Arial" w:cs="Arial"/>
                <w:b/>
                <w:bCs/>
                <w:color w:val="000000"/>
                <w:sz w:val="20"/>
                <w:szCs w:val="20"/>
              </w:rPr>
              <w:t>C</w:t>
            </w:r>
            <w:r>
              <w:rPr>
                <w:rFonts w:ascii="Arial" w:eastAsia="Arial" w:hAnsi="Arial" w:cs="Arial"/>
                <w:b/>
                <w:bCs/>
                <w:color w:val="000000"/>
                <w:sz w:val="20"/>
                <w:szCs w:val="20"/>
              </w:rPr>
              <w:t xml:space="preserve">ompany </w:t>
            </w:r>
            <w:r>
              <w:rPr>
                <w:rFonts w:ascii="Arial" w:eastAsia="Arial" w:hAnsi="Arial" w:cs="Arial"/>
                <w:b/>
                <w:bCs/>
                <w:color w:val="000000"/>
                <w:sz w:val="20"/>
                <w:szCs w:val="20"/>
              </w:rPr>
              <w:t>Contact</w:t>
            </w:r>
            <w:r>
              <w:rPr>
                <w:rFonts w:ascii="Arial" w:eastAsia="Arial" w:hAnsi="Arial" w:cs="Arial"/>
                <w:b/>
                <w:bCs/>
                <w:color w:val="000000"/>
                <w:sz w:val="20"/>
                <w:szCs w:val="20"/>
              </w:rPr>
              <w:t>s</w:t>
            </w:r>
            <w:r>
              <w:rPr>
                <w:rFonts w:ascii="Arial" w:eastAsia="Arial" w:hAnsi="Arial" w:cs="Arial"/>
                <w:b/>
                <w:bCs/>
                <w:color w:val="000000"/>
                <w:sz w:val="20"/>
                <w:szCs w:val="20"/>
              </w:rPr>
              <w:t xml:space="preserve">: </w:t>
            </w:r>
          </w:p>
          <w:p w14:paraId="66FEB6C2" w14:textId="7A6925B2">
            <w:pPr>
              <w:ind w:right="-701"/>
              <w:rPr>
                <w:rFonts w:ascii="Arial" w:hAnsi="Arial" w:cs="Arial"/>
                <w:sz w:val="20"/>
                <w:szCs w:val="20"/>
              </w:rPr>
            </w:pPr>
            <w:r>
              <w:rPr>
                <w:rFonts w:ascii="Arial" w:hAnsi="Arial" w:cs="Arial"/>
                <w:sz w:val="20"/>
                <w:szCs w:val="20"/>
              </w:rPr>
              <w:t>Noemie Galabru</w:t>
            </w:r>
            <w:r>
              <w:rPr>
                <w:rFonts w:ascii="Arial" w:hAnsi="Arial" w:cs="Arial"/>
                <w:sz w:val="20"/>
                <w:szCs w:val="20"/>
              </w:rPr>
              <w:br/>
            </w:r>
            <w:r>
              <w:rPr>
                <w:rFonts w:ascii="Arial" w:hAnsi="Arial" w:cs="Arial"/>
                <w:sz w:val="20"/>
                <w:szCs w:val="20"/>
              </w:rPr>
              <w:t>CMO</w:t>
            </w:r>
          </w:p>
          <w:p w14:paraId="54B62836" w14:textId="6AE59AD1">
            <w:pPr>
              <w:rPr>
                <w:rFonts w:ascii="Arial" w:hAnsi="Arial" w:cs="Arial"/>
                <w:sz w:val="20"/>
                <w:szCs w:val="20"/>
              </w:rPr>
            </w:pPr>
            <w:r>
              <w:rPr>
                <w:rFonts w:ascii="Arial" w:hAnsi="Arial" w:cs="Arial"/>
                <w:sz w:val="20"/>
                <w:szCs w:val="20"/>
              </w:rPr>
              <w:t xml:space="preserve">Tel: +1 </w:t>
            </w:r>
            <w:r>
              <w:rPr>
                <w:rFonts w:ascii="Arial" w:hAnsi="Arial" w:cs="Arial"/>
                <w:sz w:val="20"/>
                <w:szCs w:val="20"/>
              </w:rPr>
              <w:t>(934) 799-0121</w:t>
            </w:r>
          </w:p>
          <w:p w14:paraId="6B31837F" w14:textId="77777777">
            <w:pPr>
              <w:rPr>
                <w:rFonts w:ascii="Arial" w:hAnsi="Arial" w:cs="Arial"/>
                <w:sz w:val="20"/>
                <w:szCs w:val="20"/>
              </w:rPr>
            </w:pPr>
            <w:r>
              <w:rPr>
                <w:rFonts w:ascii="Arial" w:hAnsi="Arial" w:cs="Arial"/>
                <w:sz w:val="20"/>
                <w:szCs w:val="20"/>
              </w:rPr>
              <w:t xml:space="preserve">Email: </w:t>
            </w:r>
            <w:hyperlink r:id="rId15" w:history="1">
              <w:r>
                <w:rPr>
                  <w:rStyle w:val="Hyperlink"/>
                  <w:rFonts w:ascii="Arial" w:hAnsi="Arial" w:cs="Arial"/>
                  <w:sz w:val="20"/>
                  <w:szCs w:val="20"/>
                </w:rPr>
                <w:t>noemie.galabru@witbe.net</w:t>
              </w:r>
            </w:hyperlink>
          </w:p>
          <w:p w14:paraId="7E538B8F" w14:textId="1CF46621">
            <w:pPr>
              <w:rPr>
                <w:rFonts w:ascii="Arial" w:hAnsi="Arial" w:cs="Arial"/>
                <w:color w:val="000000"/>
                <w:sz w:val="20"/>
                <w:szCs w:val="20"/>
              </w:rPr>
            </w:pPr>
          </w:p>
        </w:tc>
        <w:tc>
          <w:tcPr>
            <w:tcW w:w="4115" w:type="dxa"/>
            <w:tcMar>
              <w:top w:w="5" w:type="dxa"/>
              <w:left w:w="113" w:type="dxa"/>
              <w:bottom w:w="5" w:type="dxa"/>
              <w:right w:w="113" w:type="dxa"/>
            </w:tcMar>
            <w:hideMark/>
          </w:tcPr>
          <w:p w14:paraId="661DDB3E" w14:textId="642519CF">
            <w:pPr>
              <w:rPr>
                <w:rFonts w:ascii="Arial" w:hAnsi="Arial" w:cs="Arial"/>
                <w:color w:val="000000"/>
                <w:sz w:val="20"/>
                <w:szCs w:val="20"/>
              </w:rPr>
            </w:pPr>
          </w:p>
          <w:p w14:paraId="6256B31F" w14:textId="14096DB7">
            <w:pPr>
              <w:rPr>
                <w:rFonts w:ascii="Arial" w:hAnsi="Arial" w:cs="Arial"/>
                <w:sz w:val="20"/>
                <w:szCs w:val="20"/>
              </w:rPr>
            </w:pPr>
            <w:r>
              <w:rPr>
                <w:rFonts w:ascii="Arial" w:hAnsi="Arial" w:cs="Arial"/>
                <w:sz w:val="20"/>
                <w:szCs w:val="20"/>
              </w:rPr>
              <w:t>Emma Labrador Becker</w:t>
            </w:r>
            <w:r>
              <w:rPr>
                <w:rFonts w:ascii="Arial" w:hAnsi="Arial" w:cs="Arial"/>
                <w:sz w:val="20"/>
                <w:szCs w:val="20"/>
              </w:rPr>
              <w:br/>
              <w:t>Global Communications Manager</w:t>
            </w:r>
          </w:p>
          <w:p w14:paraId="3322A413" w14:textId="6C0879C2">
            <w:pPr>
              <w:rPr>
                <w:rFonts w:ascii="Arial" w:hAnsi="Arial" w:cs="Arial"/>
                <w:sz w:val="20"/>
                <w:szCs w:val="20"/>
              </w:rPr>
            </w:pPr>
            <w:r>
              <w:rPr>
                <w:rFonts w:ascii="Arial" w:hAnsi="Arial" w:cs="Arial"/>
                <w:sz w:val="20"/>
                <w:szCs w:val="20"/>
              </w:rPr>
              <w:t>Tel: +</w:t>
            </w:r>
            <w:r>
              <w:rPr>
                <w:rFonts w:ascii="Arial" w:hAnsi="Arial" w:cs="Arial"/>
                <w:sz w:val="20"/>
                <w:szCs w:val="20"/>
              </w:rPr>
              <w:t>44</w:t>
            </w:r>
            <w:r>
              <w:rPr>
                <w:rFonts w:ascii="Arial" w:hAnsi="Arial" w:cs="Arial"/>
                <w:sz w:val="20"/>
                <w:szCs w:val="20"/>
              </w:rPr>
              <w:t xml:space="preserve"> </w:t>
            </w:r>
            <w:r>
              <w:rPr>
                <w:rFonts w:ascii="Arial" w:hAnsi="Arial" w:cs="Arial"/>
                <w:sz w:val="20"/>
                <w:szCs w:val="20"/>
              </w:rPr>
              <w:t>(0)7</w:t>
            </w:r>
            <w:r>
              <w:rPr>
                <w:rFonts w:ascii="Arial" w:hAnsi="Arial" w:cs="Arial"/>
                <w:sz w:val="20"/>
                <w:szCs w:val="20"/>
              </w:rPr>
              <w:t>930 164 277</w:t>
            </w:r>
          </w:p>
          <w:p w14:paraId="52FD3163" w14:textId="61019B7E">
            <w:pPr>
              <w:rPr>
                <w:rFonts w:ascii="Arial" w:hAnsi="Arial" w:cs="Arial"/>
                <w:sz w:val="20"/>
                <w:szCs w:val="20"/>
              </w:rPr>
            </w:pPr>
            <w:r>
              <w:rPr>
                <w:rFonts w:ascii="Arial" w:hAnsi="Arial" w:cs="Arial"/>
                <w:sz w:val="20"/>
                <w:szCs w:val="20"/>
              </w:rPr>
              <w:t xml:space="preserve">Email: </w:t>
            </w:r>
            <w:hyperlink r:id="rId16" w:history="1">
              <w:r>
                <w:rPr>
                  <w:rStyle w:val="Hyperlink"/>
                  <w:rFonts w:ascii="Arial" w:hAnsi="Arial" w:cs="Arial"/>
                  <w:sz w:val="20"/>
                  <w:szCs w:val="20"/>
                </w:rPr>
                <w:t>emma.becker@witbe.net</w:t>
              </w:r>
            </w:hyperlink>
          </w:p>
          <w:p w14:paraId="39648B59" w14:textId="34EC2510">
            <w:pPr>
              <w:rPr>
                <w:rFonts w:ascii="Arial" w:hAnsi="Arial" w:cs="Arial"/>
                <w:color w:val="000000"/>
                <w:sz w:val="20"/>
                <w:szCs w:val="20"/>
              </w:rPr>
            </w:pPr>
          </w:p>
        </w:tc>
        <w:tc>
          <w:tcPr>
            <w:tcW w:w="3118" w:type="dxa"/>
            <w:tcMar>
              <w:top w:w="5" w:type="dxa"/>
              <w:left w:w="113" w:type="dxa"/>
              <w:bottom w:w="5" w:type="dxa"/>
              <w:right w:w="113" w:type="dxa"/>
            </w:tcMar>
            <w:hideMark/>
          </w:tcPr>
          <w:p w14:paraId="6142AF78" w14:textId="77777777">
            <w:pPr>
              <w:rPr>
                <w:rFonts w:ascii="Arial" w:hAnsi="Arial" w:cs="Arial"/>
                <w:b/>
                <w:bCs/>
                <w:color w:val="000000"/>
                <w:sz w:val="20"/>
                <w:szCs w:val="20"/>
              </w:rPr>
            </w:pPr>
            <w:r>
              <w:rPr>
                <w:rFonts w:ascii="Arial" w:hAnsi="Arial" w:cs="Arial"/>
                <w:b/>
                <w:bCs/>
                <w:color w:val="000000"/>
                <w:sz w:val="20"/>
                <w:szCs w:val="20"/>
              </w:rPr>
              <w:t>Witbe</w:t>
            </w:r>
          </w:p>
          <w:p w14:paraId="0907DC45" w14:textId="43C03759">
            <w:pPr>
              <w:rPr>
                <w:rFonts w:ascii="Arial" w:hAnsi="Arial" w:cs="Arial"/>
                <w:color w:val="000000"/>
                <w:sz w:val="20"/>
                <w:szCs w:val="20"/>
              </w:rPr>
            </w:pPr>
            <w:r>
              <w:rPr>
                <w:rFonts w:ascii="Arial" w:hAnsi="Arial" w:cs="Arial"/>
                <w:color w:val="000000"/>
                <w:sz w:val="20"/>
                <w:szCs w:val="20"/>
              </w:rPr>
              <w:t>350 7th Avenue</w:t>
            </w:r>
          </w:p>
          <w:p w14:paraId="7C9E6D3C" w14:textId="4B6D4638">
            <w:pPr>
              <w:rPr>
                <w:rFonts w:ascii="Arial" w:hAnsi="Arial" w:cs="Arial"/>
                <w:color w:val="000000"/>
                <w:sz w:val="20"/>
                <w:szCs w:val="20"/>
              </w:rPr>
            </w:pPr>
            <w:r>
              <w:rPr>
                <w:rFonts w:ascii="Arial" w:hAnsi="Arial" w:cs="Arial"/>
                <w:color w:val="000000"/>
                <w:sz w:val="20"/>
                <w:szCs w:val="20"/>
              </w:rPr>
              <w:t>Suite 2</w:t>
            </w:r>
            <w:r>
              <w:rPr>
                <w:rFonts w:ascii="Arial" w:hAnsi="Arial" w:cs="Arial"/>
                <w:color w:val="000000"/>
                <w:sz w:val="20"/>
                <w:szCs w:val="20"/>
              </w:rPr>
              <w:t>20</w:t>
            </w:r>
            <w:r>
              <w:rPr>
                <w:rFonts w:ascii="Arial" w:hAnsi="Arial" w:cs="Arial"/>
                <w:color w:val="000000"/>
                <w:sz w:val="20"/>
                <w:szCs w:val="20"/>
              </w:rPr>
              <w:t>2</w:t>
            </w:r>
          </w:p>
          <w:p w14:paraId="5B58B329" w14:textId="4C2196BF">
            <w:pPr>
              <w:rPr>
                <w:rFonts w:ascii="Arial" w:hAnsi="Arial" w:cs="Arial"/>
                <w:color w:val="000000"/>
                <w:sz w:val="20"/>
                <w:szCs w:val="20"/>
              </w:rPr>
            </w:pPr>
            <w:r>
              <w:rPr>
                <w:rFonts w:ascii="Arial" w:hAnsi="Arial" w:cs="Arial"/>
                <w:color w:val="000000"/>
                <w:sz w:val="20"/>
                <w:szCs w:val="20"/>
              </w:rPr>
              <w:t>New York, NY 10001</w:t>
            </w:r>
          </w:p>
          <w:p w14:paraId="12436319" w14:textId="7330EBA5">
            <w:pPr>
              <w:rPr>
                <w:rFonts w:ascii="Arial" w:hAnsi="Arial" w:cs="Arial"/>
                <w:color w:val="000000"/>
                <w:sz w:val="20"/>
                <w:szCs w:val="20"/>
              </w:rPr>
            </w:pPr>
            <w:hyperlink r:id="rId17" w:history="1">
              <w:r>
                <w:rPr>
                  <w:rStyle w:val="Hyperlink"/>
                  <w:rFonts w:ascii="Arial" w:eastAsia="Times New Roman" w:hAnsi="Arial" w:cs="Arial"/>
                  <w:sz w:val="20"/>
                  <w:szCs w:val="20"/>
                </w:rPr>
                <w:t>www.witbe.net</w:t>
              </w:r>
            </w:hyperlink>
          </w:p>
        </w:tc>
      </w:tr>
    </w:tbl>
    <w:p w14:paraId="1B6FEA93" w14:textId="77777777"/>
    <w:sectPr>
      <w:headerReference w:type="first" r:id="rId18"/>
      <w:pgSz w:w="12240" w:h="15840"/>
      <w:pgMar w:top="1440" w:right="1440" w:bottom="127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87861" w14:textId="77777777" w:rsidR="00957B8A" w:rsidRDefault="00957B8A" w:rsidP="001B7592">
      <w:r>
        <w:separator/>
      </w:r>
    </w:p>
  </w:endnote>
  <w:endnote w:type="continuationSeparator" w:id="0">
    <w:p w14:paraId="70690624" w14:textId="77777777" w:rsidR="00957B8A" w:rsidRDefault="00957B8A" w:rsidP="001B7592">
      <w:r>
        <w:continuationSeparator/>
      </w:r>
    </w:p>
  </w:endnote>
  <w:endnote w:type="continuationNotice" w:id="1">
    <w:p w14:paraId="727CB955" w14:textId="77777777" w:rsidR="00957B8A" w:rsidRDefault="00957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291BE" w14:textId="77777777" w:rsidR="00957B8A" w:rsidRDefault="00957B8A" w:rsidP="001B7592">
      <w:r>
        <w:separator/>
      </w:r>
    </w:p>
  </w:footnote>
  <w:footnote w:type="continuationSeparator" w:id="0">
    <w:p w14:paraId="337B6B88" w14:textId="77777777" w:rsidR="00957B8A" w:rsidRDefault="00957B8A" w:rsidP="001B7592">
      <w:r>
        <w:continuationSeparator/>
      </w:r>
    </w:p>
  </w:footnote>
  <w:footnote w:type="continuationNotice" w:id="1">
    <w:p w14:paraId="405B5C64" w14:textId="77777777" w:rsidR="00957B8A" w:rsidRDefault="00957B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5FE6" w14:textId="70B098FE" w:rsidR="001B7592" w:rsidRDefault="005C3ACB" w:rsidP="005C3ACB">
    <w:pPr>
      <w:pStyle w:val="Header"/>
      <w:jc w:val="right"/>
    </w:pPr>
    <w:r>
      <w:rPr>
        <w:rFonts w:ascii="Arial" w:eastAsia="Times New Roman" w:hAnsi="Arial" w:cs="Arial"/>
        <w:b/>
        <w:bCs/>
        <w:noProof/>
        <w:spacing w:val="5"/>
        <w:sz w:val="32"/>
        <w:szCs w:val="32"/>
      </w:rPr>
      <w:drawing>
        <wp:anchor distT="0" distB="0" distL="114300" distR="114300" simplePos="0" relativeHeight="251658241" behindDoc="1" locked="0" layoutInCell="1" allowOverlap="1" wp14:anchorId="41EA39F1" wp14:editId="3B0554E5">
          <wp:simplePos x="0" y="0"/>
          <wp:positionH relativeFrom="column">
            <wp:posOffset>4095750</wp:posOffset>
          </wp:positionH>
          <wp:positionV relativeFrom="paragraph">
            <wp:posOffset>160655</wp:posOffset>
          </wp:positionV>
          <wp:extent cx="1688465" cy="859790"/>
          <wp:effectExtent l="0" t="0" r="6985" b="0"/>
          <wp:wrapTight wrapText="bothSides">
            <wp:wrapPolygon edited="0">
              <wp:start x="0" y="0"/>
              <wp:lineTo x="0" y="21058"/>
              <wp:lineTo x="21446" y="21058"/>
              <wp:lineTo x="21446" y="0"/>
              <wp:lineTo x="0" y="0"/>
            </wp:wrapPolygon>
          </wp:wrapTight>
          <wp:docPr id="1861607290" name="Picture 186160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80139" name="Picture 1145580139"/>
                  <pic:cNvPicPr/>
                </pic:nvPicPr>
                <pic:blipFill>
                  <a:blip r:embed="rId1">
                    <a:extLst>
                      <a:ext uri="{28A0092B-C50C-407E-A947-70E740481C1C}">
                        <a14:useLocalDpi xmlns:a14="http://schemas.microsoft.com/office/drawing/2010/main" val="0"/>
                      </a:ext>
                    </a:extLst>
                  </a:blip>
                  <a:stretch>
                    <a:fillRect/>
                  </a:stretch>
                </pic:blipFill>
                <pic:spPr>
                  <a:xfrm>
                    <a:off x="0" y="0"/>
                    <a:ext cx="1688465" cy="859790"/>
                  </a:xfrm>
                  <a:prstGeom prst="rect">
                    <a:avLst/>
                  </a:prstGeom>
                </pic:spPr>
              </pic:pic>
            </a:graphicData>
          </a:graphic>
          <wp14:sizeRelH relativeFrom="page">
            <wp14:pctWidth>0</wp14:pctWidth>
          </wp14:sizeRelH>
          <wp14:sizeRelV relativeFrom="page">
            <wp14:pctHeight>0</wp14:pctHeight>
          </wp14:sizeRelV>
        </wp:anchor>
      </w:drawing>
    </w:r>
    <w:r w:rsidR="001B7592" w:rsidRPr="004474F0">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46E9B151" wp14:editId="0E443C7B">
          <wp:simplePos x="0" y="0"/>
          <wp:positionH relativeFrom="column">
            <wp:posOffset>0</wp:posOffset>
          </wp:positionH>
          <wp:positionV relativeFrom="paragraph">
            <wp:posOffset>182880</wp:posOffset>
          </wp:positionV>
          <wp:extent cx="1737360" cy="810895"/>
          <wp:effectExtent l="0" t="0" r="2540" b="1905"/>
          <wp:wrapTight wrapText="bothSides">
            <wp:wrapPolygon edited="0">
              <wp:start x="3474" y="0"/>
              <wp:lineTo x="2053" y="1353"/>
              <wp:lineTo x="316" y="4398"/>
              <wp:lineTo x="0" y="9134"/>
              <wp:lineTo x="0" y="13532"/>
              <wp:lineTo x="316" y="16915"/>
              <wp:lineTo x="3000" y="21312"/>
              <wp:lineTo x="3316" y="21312"/>
              <wp:lineTo x="6632" y="21312"/>
              <wp:lineTo x="7263" y="21312"/>
              <wp:lineTo x="9632" y="17253"/>
              <wp:lineTo x="21474" y="15900"/>
              <wp:lineTo x="21474" y="7104"/>
              <wp:lineTo x="15316" y="5413"/>
              <wp:lineTo x="15632" y="4060"/>
              <wp:lineTo x="14684" y="3383"/>
              <wp:lineTo x="6632" y="0"/>
              <wp:lineTo x="3474" y="0"/>
            </wp:wrapPolygon>
          </wp:wrapTight>
          <wp:docPr id="714383598" name="Picture 71438359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360" cy="810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E2997"/>
    <w:multiLevelType w:val="hybridMultilevel"/>
    <w:tmpl w:val="6762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627457"/>
    <w:multiLevelType w:val="hybridMultilevel"/>
    <w:tmpl w:val="04D4AE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62F359C"/>
    <w:multiLevelType w:val="multilevel"/>
    <w:tmpl w:val="B620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45361">
    <w:abstractNumId w:val="0"/>
  </w:num>
  <w:num w:numId="2" w16cid:durableId="492723448">
    <w:abstractNumId w:val="2"/>
  </w:num>
  <w:num w:numId="3" w16cid:durableId="1199778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CC"/>
    <w:rsid w:val="00002414"/>
    <w:rsid w:val="00017EF7"/>
    <w:rsid w:val="00025066"/>
    <w:rsid w:val="000311DA"/>
    <w:rsid w:val="00031D8E"/>
    <w:rsid w:val="0003249C"/>
    <w:rsid w:val="00034FB7"/>
    <w:rsid w:val="00037F77"/>
    <w:rsid w:val="00051D9B"/>
    <w:rsid w:val="0006777C"/>
    <w:rsid w:val="00067D4A"/>
    <w:rsid w:val="000767F3"/>
    <w:rsid w:val="00084BF9"/>
    <w:rsid w:val="000A3702"/>
    <w:rsid w:val="000A7159"/>
    <w:rsid w:val="000B43B7"/>
    <w:rsid w:val="000B4B32"/>
    <w:rsid w:val="000B64D0"/>
    <w:rsid w:val="000E0DDC"/>
    <w:rsid w:val="000E2654"/>
    <w:rsid w:val="000E53A5"/>
    <w:rsid w:val="000E6ED7"/>
    <w:rsid w:val="000E745A"/>
    <w:rsid w:val="000F04BD"/>
    <w:rsid w:val="000F4CFE"/>
    <w:rsid w:val="001177AA"/>
    <w:rsid w:val="001251AF"/>
    <w:rsid w:val="0012689D"/>
    <w:rsid w:val="001311EB"/>
    <w:rsid w:val="00141D23"/>
    <w:rsid w:val="00144B05"/>
    <w:rsid w:val="0014716B"/>
    <w:rsid w:val="00153B81"/>
    <w:rsid w:val="00155C07"/>
    <w:rsid w:val="00156471"/>
    <w:rsid w:val="0016234E"/>
    <w:rsid w:val="00164F2A"/>
    <w:rsid w:val="0016522E"/>
    <w:rsid w:val="001741A7"/>
    <w:rsid w:val="001840C5"/>
    <w:rsid w:val="001922C8"/>
    <w:rsid w:val="001B46C8"/>
    <w:rsid w:val="001B732B"/>
    <w:rsid w:val="001B7592"/>
    <w:rsid w:val="001C002C"/>
    <w:rsid w:val="001C04E0"/>
    <w:rsid w:val="001C7FFB"/>
    <w:rsid w:val="001D09B4"/>
    <w:rsid w:val="001D4019"/>
    <w:rsid w:val="001E10B1"/>
    <w:rsid w:val="001E1BA8"/>
    <w:rsid w:val="001E4FC3"/>
    <w:rsid w:val="001E7BE1"/>
    <w:rsid w:val="001F1C4C"/>
    <w:rsid w:val="001F6E1E"/>
    <w:rsid w:val="00200428"/>
    <w:rsid w:val="00217260"/>
    <w:rsid w:val="00223609"/>
    <w:rsid w:val="0022651E"/>
    <w:rsid w:val="002340D3"/>
    <w:rsid w:val="002516B7"/>
    <w:rsid w:val="002570E1"/>
    <w:rsid w:val="00266268"/>
    <w:rsid w:val="00271898"/>
    <w:rsid w:val="002839CF"/>
    <w:rsid w:val="00283F87"/>
    <w:rsid w:val="002865CF"/>
    <w:rsid w:val="002905FD"/>
    <w:rsid w:val="002926E1"/>
    <w:rsid w:val="00292BFF"/>
    <w:rsid w:val="00292E86"/>
    <w:rsid w:val="00293024"/>
    <w:rsid w:val="00297D16"/>
    <w:rsid w:val="002A70CE"/>
    <w:rsid w:val="002D1E04"/>
    <w:rsid w:val="002D45EA"/>
    <w:rsid w:val="002D7C29"/>
    <w:rsid w:val="002E6C25"/>
    <w:rsid w:val="002F1F5C"/>
    <w:rsid w:val="002F2D20"/>
    <w:rsid w:val="002F2DF9"/>
    <w:rsid w:val="002F3507"/>
    <w:rsid w:val="002F3DB6"/>
    <w:rsid w:val="002F498B"/>
    <w:rsid w:val="0030405D"/>
    <w:rsid w:val="003130B9"/>
    <w:rsid w:val="00314519"/>
    <w:rsid w:val="0032070B"/>
    <w:rsid w:val="00325160"/>
    <w:rsid w:val="00326D6B"/>
    <w:rsid w:val="003617A8"/>
    <w:rsid w:val="003656B3"/>
    <w:rsid w:val="00372A75"/>
    <w:rsid w:val="00373976"/>
    <w:rsid w:val="003851EB"/>
    <w:rsid w:val="00385E07"/>
    <w:rsid w:val="00387083"/>
    <w:rsid w:val="00392F63"/>
    <w:rsid w:val="003B7A4E"/>
    <w:rsid w:val="003C0CC9"/>
    <w:rsid w:val="003C4923"/>
    <w:rsid w:val="003C4F46"/>
    <w:rsid w:val="003C5F63"/>
    <w:rsid w:val="003E197B"/>
    <w:rsid w:val="003E6906"/>
    <w:rsid w:val="00400A3C"/>
    <w:rsid w:val="00416B5B"/>
    <w:rsid w:val="00422852"/>
    <w:rsid w:val="00425A7D"/>
    <w:rsid w:val="00433077"/>
    <w:rsid w:val="004455FF"/>
    <w:rsid w:val="00445C28"/>
    <w:rsid w:val="004474F0"/>
    <w:rsid w:val="0045020C"/>
    <w:rsid w:val="0045379E"/>
    <w:rsid w:val="00454D1E"/>
    <w:rsid w:val="00463A4E"/>
    <w:rsid w:val="00464DC9"/>
    <w:rsid w:val="00465845"/>
    <w:rsid w:val="00467091"/>
    <w:rsid w:val="004748CF"/>
    <w:rsid w:val="004774A4"/>
    <w:rsid w:val="0048564B"/>
    <w:rsid w:val="004977CE"/>
    <w:rsid w:val="004A2458"/>
    <w:rsid w:val="004A478D"/>
    <w:rsid w:val="004A5001"/>
    <w:rsid w:val="004A5C13"/>
    <w:rsid w:val="004B182E"/>
    <w:rsid w:val="004B5A28"/>
    <w:rsid w:val="004B7E05"/>
    <w:rsid w:val="004C0B88"/>
    <w:rsid w:val="004D1BB1"/>
    <w:rsid w:val="004D443E"/>
    <w:rsid w:val="004E2D66"/>
    <w:rsid w:val="004E38F6"/>
    <w:rsid w:val="00500272"/>
    <w:rsid w:val="00500BE9"/>
    <w:rsid w:val="0050510A"/>
    <w:rsid w:val="005079EF"/>
    <w:rsid w:val="005107DB"/>
    <w:rsid w:val="00525949"/>
    <w:rsid w:val="00533D90"/>
    <w:rsid w:val="005378D5"/>
    <w:rsid w:val="0054267F"/>
    <w:rsid w:val="00560A36"/>
    <w:rsid w:val="00560DE3"/>
    <w:rsid w:val="00565042"/>
    <w:rsid w:val="00573D1B"/>
    <w:rsid w:val="00574119"/>
    <w:rsid w:val="00576657"/>
    <w:rsid w:val="005831BB"/>
    <w:rsid w:val="005834EF"/>
    <w:rsid w:val="0058539D"/>
    <w:rsid w:val="005937A9"/>
    <w:rsid w:val="00594EE7"/>
    <w:rsid w:val="005A1881"/>
    <w:rsid w:val="005A356F"/>
    <w:rsid w:val="005A507A"/>
    <w:rsid w:val="005A5760"/>
    <w:rsid w:val="005B034E"/>
    <w:rsid w:val="005B29EF"/>
    <w:rsid w:val="005C3ACB"/>
    <w:rsid w:val="005C401C"/>
    <w:rsid w:val="005C4CC7"/>
    <w:rsid w:val="005C5AE4"/>
    <w:rsid w:val="005D0DD6"/>
    <w:rsid w:val="005D688C"/>
    <w:rsid w:val="005E53AA"/>
    <w:rsid w:val="005E6BFF"/>
    <w:rsid w:val="005E7E67"/>
    <w:rsid w:val="005F7C82"/>
    <w:rsid w:val="006002A8"/>
    <w:rsid w:val="0060459B"/>
    <w:rsid w:val="0060504D"/>
    <w:rsid w:val="00620939"/>
    <w:rsid w:val="00631B8A"/>
    <w:rsid w:val="00634549"/>
    <w:rsid w:val="0063543A"/>
    <w:rsid w:val="00645233"/>
    <w:rsid w:val="0065396F"/>
    <w:rsid w:val="00654C53"/>
    <w:rsid w:val="0067221E"/>
    <w:rsid w:val="00682279"/>
    <w:rsid w:val="00682D0B"/>
    <w:rsid w:val="00693B36"/>
    <w:rsid w:val="00693D44"/>
    <w:rsid w:val="00694225"/>
    <w:rsid w:val="00694515"/>
    <w:rsid w:val="00694C22"/>
    <w:rsid w:val="00696476"/>
    <w:rsid w:val="00696D56"/>
    <w:rsid w:val="00697F7D"/>
    <w:rsid w:val="006A188B"/>
    <w:rsid w:val="006A5C06"/>
    <w:rsid w:val="006A7B85"/>
    <w:rsid w:val="006B5ACC"/>
    <w:rsid w:val="006C2CE4"/>
    <w:rsid w:val="006C6E24"/>
    <w:rsid w:val="006D4322"/>
    <w:rsid w:val="006E3374"/>
    <w:rsid w:val="006F56CF"/>
    <w:rsid w:val="007003E7"/>
    <w:rsid w:val="00704940"/>
    <w:rsid w:val="00715549"/>
    <w:rsid w:val="00717D9F"/>
    <w:rsid w:val="007358B1"/>
    <w:rsid w:val="00751BE2"/>
    <w:rsid w:val="00752A12"/>
    <w:rsid w:val="00755766"/>
    <w:rsid w:val="00757BDA"/>
    <w:rsid w:val="0076276B"/>
    <w:rsid w:val="00771FC4"/>
    <w:rsid w:val="00776ED3"/>
    <w:rsid w:val="00777C12"/>
    <w:rsid w:val="00791B6F"/>
    <w:rsid w:val="007A4B7F"/>
    <w:rsid w:val="007A7967"/>
    <w:rsid w:val="007A7F6A"/>
    <w:rsid w:val="007B2AE7"/>
    <w:rsid w:val="007B4ADB"/>
    <w:rsid w:val="007C059D"/>
    <w:rsid w:val="007C1FFB"/>
    <w:rsid w:val="007D43B6"/>
    <w:rsid w:val="007D5752"/>
    <w:rsid w:val="007E0C77"/>
    <w:rsid w:val="007E43C7"/>
    <w:rsid w:val="00801939"/>
    <w:rsid w:val="00815BEB"/>
    <w:rsid w:val="00817E5B"/>
    <w:rsid w:val="00826838"/>
    <w:rsid w:val="00834310"/>
    <w:rsid w:val="00851B59"/>
    <w:rsid w:val="00852CEB"/>
    <w:rsid w:val="00854A0D"/>
    <w:rsid w:val="00855A03"/>
    <w:rsid w:val="00855E91"/>
    <w:rsid w:val="00862EA3"/>
    <w:rsid w:val="00863DBA"/>
    <w:rsid w:val="0086481D"/>
    <w:rsid w:val="00865047"/>
    <w:rsid w:val="00891718"/>
    <w:rsid w:val="00894CFF"/>
    <w:rsid w:val="008A09E5"/>
    <w:rsid w:val="008A0C03"/>
    <w:rsid w:val="008A4C07"/>
    <w:rsid w:val="008A6FE5"/>
    <w:rsid w:val="008C5128"/>
    <w:rsid w:val="008D0BD0"/>
    <w:rsid w:val="008E44AD"/>
    <w:rsid w:val="00900A3F"/>
    <w:rsid w:val="00912A63"/>
    <w:rsid w:val="009153F6"/>
    <w:rsid w:val="00915D22"/>
    <w:rsid w:val="009246CF"/>
    <w:rsid w:val="009253AD"/>
    <w:rsid w:val="009333EA"/>
    <w:rsid w:val="00934BBE"/>
    <w:rsid w:val="00944337"/>
    <w:rsid w:val="009458F8"/>
    <w:rsid w:val="00946777"/>
    <w:rsid w:val="00955692"/>
    <w:rsid w:val="00957349"/>
    <w:rsid w:val="00957B8A"/>
    <w:rsid w:val="00964C28"/>
    <w:rsid w:val="009751B4"/>
    <w:rsid w:val="00976FC3"/>
    <w:rsid w:val="0099435F"/>
    <w:rsid w:val="00996112"/>
    <w:rsid w:val="009A7249"/>
    <w:rsid w:val="009A7BDE"/>
    <w:rsid w:val="009B0FF7"/>
    <w:rsid w:val="009B3E48"/>
    <w:rsid w:val="009B57B5"/>
    <w:rsid w:val="009C1D1D"/>
    <w:rsid w:val="009C3BFD"/>
    <w:rsid w:val="009C7B04"/>
    <w:rsid w:val="009D1052"/>
    <w:rsid w:val="009D1FEC"/>
    <w:rsid w:val="009E0218"/>
    <w:rsid w:val="009E54F4"/>
    <w:rsid w:val="009F0616"/>
    <w:rsid w:val="009F0D7F"/>
    <w:rsid w:val="00A003BB"/>
    <w:rsid w:val="00A01153"/>
    <w:rsid w:val="00A03291"/>
    <w:rsid w:val="00A05B4F"/>
    <w:rsid w:val="00A069DB"/>
    <w:rsid w:val="00A20BF1"/>
    <w:rsid w:val="00A31A2B"/>
    <w:rsid w:val="00A34DD1"/>
    <w:rsid w:val="00A46D5A"/>
    <w:rsid w:val="00A478E3"/>
    <w:rsid w:val="00A6124D"/>
    <w:rsid w:val="00A6718C"/>
    <w:rsid w:val="00A72761"/>
    <w:rsid w:val="00A73B2B"/>
    <w:rsid w:val="00A7736C"/>
    <w:rsid w:val="00A77ABF"/>
    <w:rsid w:val="00A80758"/>
    <w:rsid w:val="00A80E34"/>
    <w:rsid w:val="00A96145"/>
    <w:rsid w:val="00AA189F"/>
    <w:rsid w:val="00AA1F30"/>
    <w:rsid w:val="00AC5CCB"/>
    <w:rsid w:val="00AD2850"/>
    <w:rsid w:val="00AE0524"/>
    <w:rsid w:val="00AF0881"/>
    <w:rsid w:val="00AF2EF1"/>
    <w:rsid w:val="00B00308"/>
    <w:rsid w:val="00B029AC"/>
    <w:rsid w:val="00B034ED"/>
    <w:rsid w:val="00B20F03"/>
    <w:rsid w:val="00B41730"/>
    <w:rsid w:val="00B442AC"/>
    <w:rsid w:val="00B50D91"/>
    <w:rsid w:val="00B55CB4"/>
    <w:rsid w:val="00B747A0"/>
    <w:rsid w:val="00B776DE"/>
    <w:rsid w:val="00B87D01"/>
    <w:rsid w:val="00BA5B81"/>
    <w:rsid w:val="00BB6744"/>
    <w:rsid w:val="00BC0278"/>
    <w:rsid w:val="00BC0ACB"/>
    <w:rsid w:val="00BC6417"/>
    <w:rsid w:val="00BE007A"/>
    <w:rsid w:val="00BF08BD"/>
    <w:rsid w:val="00BF2D94"/>
    <w:rsid w:val="00BF38E5"/>
    <w:rsid w:val="00C005B4"/>
    <w:rsid w:val="00C02BB7"/>
    <w:rsid w:val="00C06F6D"/>
    <w:rsid w:val="00C112ED"/>
    <w:rsid w:val="00C166CF"/>
    <w:rsid w:val="00C17DF9"/>
    <w:rsid w:val="00C17EF1"/>
    <w:rsid w:val="00C24AA1"/>
    <w:rsid w:val="00C32F25"/>
    <w:rsid w:val="00C34556"/>
    <w:rsid w:val="00C512EA"/>
    <w:rsid w:val="00C53B33"/>
    <w:rsid w:val="00C575AC"/>
    <w:rsid w:val="00C604CC"/>
    <w:rsid w:val="00C73906"/>
    <w:rsid w:val="00C85198"/>
    <w:rsid w:val="00C90C8B"/>
    <w:rsid w:val="00CA38C2"/>
    <w:rsid w:val="00CA7FC1"/>
    <w:rsid w:val="00CB3B87"/>
    <w:rsid w:val="00CB6246"/>
    <w:rsid w:val="00CC4B4B"/>
    <w:rsid w:val="00CD01E1"/>
    <w:rsid w:val="00CD1A54"/>
    <w:rsid w:val="00CD5AD3"/>
    <w:rsid w:val="00CF3600"/>
    <w:rsid w:val="00D0018F"/>
    <w:rsid w:val="00D0392A"/>
    <w:rsid w:val="00D12162"/>
    <w:rsid w:val="00D1322A"/>
    <w:rsid w:val="00D1330D"/>
    <w:rsid w:val="00D17023"/>
    <w:rsid w:val="00D33D54"/>
    <w:rsid w:val="00D343E1"/>
    <w:rsid w:val="00D43841"/>
    <w:rsid w:val="00D43CD7"/>
    <w:rsid w:val="00D60C3C"/>
    <w:rsid w:val="00D67DAE"/>
    <w:rsid w:val="00D70E7F"/>
    <w:rsid w:val="00D738AE"/>
    <w:rsid w:val="00D7681E"/>
    <w:rsid w:val="00D76CB6"/>
    <w:rsid w:val="00D82445"/>
    <w:rsid w:val="00D8446D"/>
    <w:rsid w:val="00D8454E"/>
    <w:rsid w:val="00D93937"/>
    <w:rsid w:val="00DC17AE"/>
    <w:rsid w:val="00DC1851"/>
    <w:rsid w:val="00DC3D0C"/>
    <w:rsid w:val="00DD6426"/>
    <w:rsid w:val="00DD6610"/>
    <w:rsid w:val="00DE0BF9"/>
    <w:rsid w:val="00DE79E9"/>
    <w:rsid w:val="00DF75BC"/>
    <w:rsid w:val="00E03BB9"/>
    <w:rsid w:val="00E05FAB"/>
    <w:rsid w:val="00E2699B"/>
    <w:rsid w:val="00E43D9D"/>
    <w:rsid w:val="00E447F0"/>
    <w:rsid w:val="00E469EF"/>
    <w:rsid w:val="00E64E3F"/>
    <w:rsid w:val="00E6543E"/>
    <w:rsid w:val="00E75B6C"/>
    <w:rsid w:val="00E77030"/>
    <w:rsid w:val="00E80A43"/>
    <w:rsid w:val="00E86B88"/>
    <w:rsid w:val="00E90707"/>
    <w:rsid w:val="00E93DFB"/>
    <w:rsid w:val="00E9576B"/>
    <w:rsid w:val="00EB05D6"/>
    <w:rsid w:val="00EC0D57"/>
    <w:rsid w:val="00EC66A8"/>
    <w:rsid w:val="00EE6993"/>
    <w:rsid w:val="00EF1F3F"/>
    <w:rsid w:val="00EF3525"/>
    <w:rsid w:val="00EF36D0"/>
    <w:rsid w:val="00EF3A4E"/>
    <w:rsid w:val="00F02A26"/>
    <w:rsid w:val="00F05C71"/>
    <w:rsid w:val="00F10365"/>
    <w:rsid w:val="00F17E2B"/>
    <w:rsid w:val="00F25059"/>
    <w:rsid w:val="00F266C3"/>
    <w:rsid w:val="00F27F11"/>
    <w:rsid w:val="00F31074"/>
    <w:rsid w:val="00F31F79"/>
    <w:rsid w:val="00F4205C"/>
    <w:rsid w:val="00F4258A"/>
    <w:rsid w:val="00F431AA"/>
    <w:rsid w:val="00F57E35"/>
    <w:rsid w:val="00F627CF"/>
    <w:rsid w:val="00F62EC3"/>
    <w:rsid w:val="00F63E8B"/>
    <w:rsid w:val="00F806EA"/>
    <w:rsid w:val="00F85728"/>
    <w:rsid w:val="00FA14C0"/>
    <w:rsid w:val="00FB028F"/>
    <w:rsid w:val="00FB1450"/>
    <w:rsid w:val="00FB2C4E"/>
    <w:rsid w:val="00FD26CC"/>
    <w:rsid w:val="00FE4812"/>
    <w:rsid w:val="03D72513"/>
    <w:rsid w:val="0510DAD1"/>
    <w:rsid w:val="06B64655"/>
    <w:rsid w:val="08B14763"/>
    <w:rsid w:val="10A2D8E4"/>
    <w:rsid w:val="11297621"/>
    <w:rsid w:val="1BD23587"/>
    <w:rsid w:val="1D13F0F0"/>
    <w:rsid w:val="211DF4F0"/>
    <w:rsid w:val="292756AA"/>
    <w:rsid w:val="2E2ABC66"/>
    <w:rsid w:val="2F30FC44"/>
    <w:rsid w:val="2FC50EE8"/>
    <w:rsid w:val="31A463F0"/>
    <w:rsid w:val="3378CA77"/>
    <w:rsid w:val="37C120A0"/>
    <w:rsid w:val="3AF01711"/>
    <w:rsid w:val="3BEC6606"/>
    <w:rsid w:val="3CC3652F"/>
    <w:rsid w:val="407C6A8C"/>
    <w:rsid w:val="40EF9630"/>
    <w:rsid w:val="42818624"/>
    <w:rsid w:val="46698B48"/>
    <w:rsid w:val="46C4FB62"/>
    <w:rsid w:val="4AD191E0"/>
    <w:rsid w:val="4BCDF749"/>
    <w:rsid w:val="5592707F"/>
    <w:rsid w:val="57BFB340"/>
    <w:rsid w:val="5B68142A"/>
    <w:rsid w:val="5BC1375E"/>
    <w:rsid w:val="5BFBEFAA"/>
    <w:rsid w:val="6487265C"/>
    <w:rsid w:val="6735D2E5"/>
    <w:rsid w:val="677F87D9"/>
    <w:rsid w:val="68788FDC"/>
    <w:rsid w:val="690359A7"/>
    <w:rsid w:val="6A793A2A"/>
    <w:rsid w:val="6B28B842"/>
    <w:rsid w:val="6C58D28A"/>
    <w:rsid w:val="6E04D479"/>
    <w:rsid w:val="79E1DF55"/>
    <w:rsid w:val="7A320017"/>
    <w:rsid w:val="7A4DEC0D"/>
    <w:rsid w:val="7FD988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A64041"/>
  <w15:chartTrackingRefBased/>
  <w15:docId w15:val="{95098E5F-B4BF-48D3-A383-84F5AB88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F6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uiPriority w:val="1"/>
    <w:rsid w:val="00FD26CC"/>
    <w:rPr>
      <w:rFonts w:ascii="Verdana" w:eastAsia="Times New Roman" w:hAnsi="Verdana" w:cs="Times New Roman"/>
      <w:b/>
      <w:bCs/>
      <w:color w:val="000000"/>
    </w:rPr>
  </w:style>
  <w:style w:type="paragraph" w:customStyle="1" w:styleId="Title2">
    <w:name w:val="Title2"/>
    <w:basedOn w:val="Normal"/>
    <w:uiPriority w:val="1"/>
    <w:rsid w:val="00FD26CC"/>
    <w:pPr>
      <w:suppressAutoHyphens/>
      <w:autoSpaceDN w:val="0"/>
      <w:textAlignment w:val="baseline"/>
    </w:pPr>
    <w:rPr>
      <w:rFonts w:ascii="Verdana" w:eastAsia="SimSun" w:hAnsi="Verdana" w:cs="Arial"/>
      <w:b/>
      <w:bCs/>
      <w:color w:val="000000"/>
      <w:kern w:val="3"/>
      <w:lang w:val="en-GB" w:eastAsia="hi-IN" w:bidi="hi-IN"/>
    </w:rPr>
  </w:style>
  <w:style w:type="table" w:styleId="TableGrid">
    <w:name w:val="Table Grid"/>
    <w:basedOn w:val="TableNormal"/>
    <w:uiPriority w:val="39"/>
    <w:rsid w:val="00FD26C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26CC"/>
    <w:rPr>
      <w:color w:val="0000FF"/>
      <w:u w:val="single"/>
    </w:rPr>
  </w:style>
  <w:style w:type="paragraph" w:styleId="ListParagraph">
    <w:name w:val="List Paragraph"/>
    <w:basedOn w:val="Normal"/>
    <w:uiPriority w:val="34"/>
    <w:qFormat/>
    <w:rsid w:val="00FD26CC"/>
    <w:pPr>
      <w:spacing w:after="200" w:line="276" w:lineRule="auto"/>
      <w:ind w:left="720"/>
      <w:contextualSpacing/>
    </w:pPr>
    <w:rPr>
      <w:sz w:val="22"/>
      <w:szCs w:val="22"/>
    </w:rPr>
  </w:style>
  <w:style w:type="character" w:customStyle="1" w:styleId="normaltextrun">
    <w:name w:val="normaltextrun"/>
    <w:basedOn w:val="DefaultParagraphFont"/>
    <w:rsid w:val="000767F3"/>
  </w:style>
  <w:style w:type="paragraph" w:styleId="Header">
    <w:name w:val="header"/>
    <w:basedOn w:val="Normal"/>
    <w:link w:val="HeaderChar"/>
    <w:uiPriority w:val="99"/>
    <w:unhideWhenUsed/>
    <w:rsid w:val="001B7592"/>
    <w:pPr>
      <w:tabs>
        <w:tab w:val="center" w:pos="4680"/>
        <w:tab w:val="right" w:pos="9360"/>
      </w:tabs>
    </w:pPr>
  </w:style>
  <w:style w:type="character" w:customStyle="1" w:styleId="HeaderChar">
    <w:name w:val="Header Char"/>
    <w:basedOn w:val="DefaultParagraphFont"/>
    <w:link w:val="Header"/>
    <w:uiPriority w:val="99"/>
    <w:rsid w:val="001B7592"/>
    <w:rPr>
      <w:lang w:val="en-US"/>
    </w:rPr>
  </w:style>
  <w:style w:type="paragraph" w:styleId="Footer">
    <w:name w:val="footer"/>
    <w:basedOn w:val="Normal"/>
    <w:link w:val="FooterChar"/>
    <w:uiPriority w:val="99"/>
    <w:unhideWhenUsed/>
    <w:rsid w:val="001B7592"/>
    <w:pPr>
      <w:tabs>
        <w:tab w:val="center" w:pos="4680"/>
        <w:tab w:val="right" w:pos="9360"/>
      </w:tabs>
    </w:pPr>
  </w:style>
  <w:style w:type="character" w:customStyle="1" w:styleId="FooterChar">
    <w:name w:val="Footer Char"/>
    <w:basedOn w:val="DefaultParagraphFont"/>
    <w:link w:val="Footer"/>
    <w:uiPriority w:val="99"/>
    <w:rsid w:val="001B7592"/>
    <w:rPr>
      <w:lang w:val="en-US"/>
    </w:rPr>
  </w:style>
  <w:style w:type="paragraph" w:styleId="Revision">
    <w:name w:val="Revision"/>
    <w:hidden/>
    <w:uiPriority w:val="99"/>
    <w:semiHidden/>
    <w:rsid w:val="001B7592"/>
    <w:rPr>
      <w:lang w:val="en-US"/>
    </w:rPr>
  </w:style>
  <w:style w:type="character" w:styleId="UnresolvedMention">
    <w:name w:val="Unresolved Mention"/>
    <w:basedOn w:val="DefaultParagraphFont"/>
    <w:uiPriority w:val="99"/>
    <w:semiHidden/>
    <w:unhideWhenUsed/>
    <w:rsid w:val="00A46D5A"/>
    <w:rPr>
      <w:color w:val="605E5C"/>
      <w:shd w:val="clear" w:color="auto" w:fill="E1DFDD"/>
    </w:rPr>
  </w:style>
  <w:style w:type="character" w:styleId="CommentReference">
    <w:name w:val="annotation reference"/>
    <w:basedOn w:val="DefaultParagraphFont"/>
    <w:uiPriority w:val="99"/>
    <w:semiHidden/>
    <w:unhideWhenUsed/>
    <w:rsid w:val="00D93937"/>
    <w:rPr>
      <w:sz w:val="16"/>
      <w:szCs w:val="16"/>
    </w:rPr>
  </w:style>
  <w:style w:type="paragraph" w:styleId="CommentText">
    <w:name w:val="annotation text"/>
    <w:basedOn w:val="Normal"/>
    <w:link w:val="CommentTextChar"/>
    <w:uiPriority w:val="99"/>
    <w:unhideWhenUsed/>
    <w:rsid w:val="00D93937"/>
    <w:rPr>
      <w:sz w:val="20"/>
      <w:szCs w:val="20"/>
    </w:rPr>
  </w:style>
  <w:style w:type="character" w:customStyle="1" w:styleId="CommentTextChar">
    <w:name w:val="Comment Text Char"/>
    <w:basedOn w:val="DefaultParagraphFont"/>
    <w:link w:val="CommentText"/>
    <w:uiPriority w:val="99"/>
    <w:rsid w:val="00D93937"/>
    <w:rPr>
      <w:sz w:val="20"/>
      <w:szCs w:val="20"/>
      <w:lang w:val="en-US"/>
    </w:rPr>
  </w:style>
  <w:style w:type="paragraph" w:styleId="CommentSubject">
    <w:name w:val="annotation subject"/>
    <w:basedOn w:val="CommentText"/>
    <w:next w:val="CommentText"/>
    <w:link w:val="CommentSubjectChar"/>
    <w:uiPriority w:val="99"/>
    <w:semiHidden/>
    <w:unhideWhenUsed/>
    <w:rsid w:val="00D93937"/>
    <w:rPr>
      <w:b/>
      <w:bCs/>
    </w:rPr>
  </w:style>
  <w:style w:type="character" w:customStyle="1" w:styleId="CommentSubjectChar">
    <w:name w:val="Comment Subject Char"/>
    <w:basedOn w:val="CommentTextChar"/>
    <w:link w:val="CommentSubject"/>
    <w:uiPriority w:val="99"/>
    <w:semiHidden/>
    <w:rsid w:val="00D93937"/>
    <w:rPr>
      <w:b/>
      <w:bCs/>
      <w:sz w:val="20"/>
      <w:szCs w:val="20"/>
      <w:lang w:val="en-US"/>
    </w:rPr>
  </w:style>
  <w:style w:type="character" w:styleId="FollowedHyperlink">
    <w:name w:val="FollowedHyperlink"/>
    <w:basedOn w:val="DefaultParagraphFont"/>
    <w:uiPriority w:val="99"/>
    <w:semiHidden/>
    <w:unhideWhenUsed/>
    <w:rsid w:val="00454D1E"/>
    <w:rPr>
      <w:color w:val="954F72" w:themeColor="followedHyperlink"/>
      <w:u w:val="single"/>
    </w:rPr>
  </w:style>
  <w:style w:type="character" w:styleId="Mention">
    <w:name w:val="Mention"/>
    <w:basedOn w:val="DefaultParagraphFont"/>
    <w:uiPriority w:val="99"/>
    <w:unhideWhenUsed/>
    <w:rsid w:val="003617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9769">
      <w:bodyDiv w:val="1"/>
      <w:marLeft w:val="0"/>
      <w:marRight w:val="0"/>
      <w:marTop w:val="0"/>
      <w:marBottom w:val="0"/>
      <w:divBdr>
        <w:top w:val="none" w:sz="0" w:space="0" w:color="auto"/>
        <w:left w:val="none" w:sz="0" w:space="0" w:color="auto"/>
        <w:bottom w:val="none" w:sz="0" w:space="0" w:color="auto"/>
        <w:right w:val="none" w:sz="0" w:space="0" w:color="auto"/>
      </w:divBdr>
    </w:div>
    <w:div w:id="361369207">
      <w:bodyDiv w:val="1"/>
      <w:marLeft w:val="0"/>
      <w:marRight w:val="0"/>
      <w:marTop w:val="0"/>
      <w:marBottom w:val="0"/>
      <w:divBdr>
        <w:top w:val="none" w:sz="0" w:space="0" w:color="auto"/>
        <w:left w:val="none" w:sz="0" w:space="0" w:color="auto"/>
        <w:bottom w:val="none" w:sz="0" w:space="0" w:color="auto"/>
        <w:right w:val="none" w:sz="0" w:space="0" w:color="auto"/>
      </w:divBdr>
    </w:div>
    <w:div w:id="879363039">
      <w:bodyDiv w:val="1"/>
      <w:marLeft w:val="0"/>
      <w:marRight w:val="0"/>
      <w:marTop w:val="0"/>
      <w:marBottom w:val="0"/>
      <w:divBdr>
        <w:top w:val="none" w:sz="0" w:space="0" w:color="auto"/>
        <w:left w:val="none" w:sz="0" w:space="0" w:color="auto"/>
        <w:bottom w:val="none" w:sz="0" w:space="0" w:color="auto"/>
        <w:right w:val="none" w:sz="0" w:space="0" w:color="auto"/>
      </w:divBdr>
      <w:divsChild>
        <w:div w:id="735858721">
          <w:marLeft w:val="0"/>
          <w:marRight w:val="0"/>
          <w:marTop w:val="0"/>
          <w:marBottom w:val="0"/>
          <w:divBdr>
            <w:top w:val="none" w:sz="0" w:space="0" w:color="auto"/>
            <w:left w:val="none" w:sz="0" w:space="0" w:color="auto"/>
            <w:bottom w:val="none" w:sz="0" w:space="0" w:color="auto"/>
            <w:right w:val="none" w:sz="0" w:space="0" w:color="auto"/>
          </w:divBdr>
        </w:div>
        <w:div w:id="846211383">
          <w:marLeft w:val="0"/>
          <w:marRight w:val="0"/>
          <w:marTop w:val="0"/>
          <w:marBottom w:val="0"/>
          <w:divBdr>
            <w:top w:val="none" w:sz="0" w:space="0" w:color="auto"/>
            <w:left w:val="none" w:sz="0" w:space="0" w:color="auto"/>
            <w:bottom w:val="none" w:sz="0" w:space="0" w:color="auto"/>
            <w:right w:val="none" w:sz="0" w:space="0" w:color="auto"/>
          </w:divBdr>
        </w:div>
        <w:div w:id="937909219">
          <w:marLeft w:val="0"/>
          <w:marRight w:val="0"/>
          <w:marTop w:val="0"/>
          <w:marBottom w:val="0"/>
          <w:divBdr>
            <w:top w:val="none" w:sz="0" w:space="0" w:color="auto"/>
            <w:left w:val="none" w:sz="0" w:space="0" w:color="auto"/>
            <w:bottom w:val="none" w:sz="0" w:space="0" w:color="auto"/>
            <w:right w:val="none" w:sz="0" w:space="0" w:color="auto"/>
          </w:divBdr>
        </w:div>
      </w:divsChild>
    </w:div>
    <w:div w:id="19351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itbe.net/press/witbe-wins-two-csi-awards-ibc-2025.jpg"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http://www.witbe.net" TargetMode="External"/><Relationship Id="rId2" Type="http://schemas.openxmlformats.org/officeDocument/2006/relationships/customXml" Target="../customXml/item2.xml"/><Relationship Id="rId16" Type="http://schemas.openxmlformats.org/officeDocument/2006/relationships/hyperlink" Target="mailto:emma.becker@witbe.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tbe.net" TargetMode="External"/><Relationship Id="rId5" Type="http://schemas.openxmlformats.org/officeDocument/2006/relationships/styles" Target="styles.xml"/><Relationship Id="rId15" Type="http://schemas.openxmlformats.org/officeDocument/2006/relationships/hyperlink" Target="mailto:noemie.galabru@witbe.net" TargetMode="External"/><Relationship Id="rId10" Type="http://schemas.openxmlformats.org/officeDocument/2006/relationships/hyperlink" Target="http://www.witbe.ne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itbe.net/press/witbe-csi-awards-best-data-and-analytics-solution.jp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21" ma:contentTypeDescription="Crée un document." ma:contentTypeScope="" ma:versionID="0fc34da3cad2a64fc5e50864953cc8fe">
  <xsd:schema xmlns:xsd="http://www.w3.org/2001/XMLSchema" xmlns:xs="http://www.w3.org/2001/XMLSchema" xmlns:p="http://schemas.microsoft.com/office/2006/metadata/properties" xmlns:ns1="http://schemas.microsoft.com/sharepoint/v3" xmlns:ns2="0577bf0f-24a0-4866-a4b7-c5543808036f" xmlns:ns3="285d8ae4-1610-4ce0-a10a-53c85cf984ee" targetNamespace="http://schemas.microsoft.com/office/2006/metadata/properties" ma:root="true" ma:fieldsID="4a867053fe96a5e06b5665c89ed54ce7" ns1:_="" ns2:_="" ns3:_="">
    <xsd:import namespace="http://schemas.microsoft.com/sharepoint/v3"/>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Propriétés de la stratégie de conformité unifiée" ma:hidden="true" ma:internalName="_ip_UnifiedCompliancePolicyProperties">
      <xsd:simpleType>
        <xsd:restriction base="dms:Note"/>
      </xsd:simpleType>
    </xsd:element>
    <xsd:element name="_ip_UnifiedCompliancePolicyUIAction" ma:index="28"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FAC84B-1530-4681-962C-D4EB4F3B57A7}">
  <ds:schemaRefs>
    <ds:schemaRef ds:uri="http://schemas.microsoft.com/office/2006/metadata/properties"/>
    <ds:schemaRef ds:uri="http://schemas.microsoft.com/office/infopath/2007/PartnerControls"/>
    <ds:schemaRef ds:uri="285d8ae4-1610-4ce0-a10a-53c85cf984ee"/>
    <ds:schemaRef ds:uri="0577bf0f-24a0-4866-a4b7-c5543808036f"/>
    <ds:schemaRef ds:uri="http://schemas.microsoft.com/sharepoint/v3"/>
  </ds:schemaRefs>
</ds:datastoreItem>
</file>

<file path=customXml/itemProps2.xml><?xml version="1.0" encoding="utf-8"?>
<ds:datastoreItem xmlns:ds="http://schemas.openxmlformats.org/officeDocument/2006/customXml" ds:itemID="{2CC3D963-B03F-4E97-8673-2467CA3F6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77bf0f-24a0-4866-a4b7-c5543808036f"/>
    <ds:schemaRef ds:uri="285d8ae4-1610-4ce0-a10a-53c85cf98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AA8983-4EED-486F-956F-728AB0BB06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