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2E829B" w14:textId="7F4A3C20">
      <w:pPr>
        <w:jc w:val="both"/>
        <w:textAlignment w:val="baseline"/>
        <w:rPr>
          <w:rFonts w:ascii="Arial" w:eastAsia="Times New Roman" w:hAnsi="Arial" w:cs="Arial"/>
          <w:b/>
          <w:bCs/>
          <w:sz w:val="28"/>
          <w:szCs w:val="28"/>
        </w:rPr>
      </w:pPr>
    </w:p>
    <w:p w14:paraId="00D09408" w14:textId="4247C9C4">
      <w:pPr>
        <w:tabs>
          <w:tab w:val="left" w:pos="1141"/>
          <w:tab w:val="center" w:pos="3417"/>
        </w:tabs>
        <w:textAlignment w:val="baseline"/>
        <w:rPr>
          <w:rFonts w:ascii="Arial" w:eastAsia="Times New Roman" w:hAnsi="Arial" w:cs="Arial"/>
          <w:b/>
          <w:bCs/>
          <w:sz w:val="32"/>
          <w:szCs w:val="32"/>
        </w:rPr>
      </w:pPr>
      <w:r>
        <w:rPr>
          <w:rFonts w:ascii="Arial" w:eastAsia="Times New Roman" w:hAnsi="Arial" w:cs="Arial"/>
          <w:b/>
          <w:bCs/>
          <w:sz w:val="32"/>
          <w:szCs w:val="32"/>
        </w:rPr>
        <w:tab/>
      </w:r>
      <w:r>
        <w:rPr>
          <w:rFonts w:ascii="Arial" w:eastAsia="Times New Roman" w:hAnsi="Arial" w:cs="Arial"/>
          <w:b/>
          <w:bCs/>
          <w:sz w:val="32"/>
          <w:szCs w:val="32"/>
        </w:rPr>
        <w:tab/>
      </w:r>
    </w:p>
    <w:p w14:paraId="0C2C0517" w14:textId="1BBA8CF3">
      <w:pPr>
        <w:jc w:val="center"/>
        <w:textAlignment w:val="baseline"/>
        <w:rPr>
          <w:rFonts w:ascii="Arial" w:eastAsia="Times New Roman" w:hAnsi="Arial" w:cs="Arial"/>
          <w:b/>
          <w:bCs/>
          <w:sz w:val="32"/>
          <w:szCs w:val="32"/>
        </w:rPr>
      </w:pPr>
      <w:r>
        <w:rPr>
          <w:rFonts w:ascii="Arial" w:eastAsia="Times New Roman" w:hAnsi="Arial" w:cs="Arial"/>
          <w:b/>
          <w:bCs/>
          <w:sz w:val="32"/>
          <w:szCs w:val="32"/>
        </w:rPr>
        <w:t>MSCTV Chooses Witbe</w:t>
      </w:r>
      <w:r>
        <w:rPr>
          <w:rFonts w:ascii="Arial" w:eastAsia="Times New Roman" w:hAnsi="Arial" w:cs="Arial"/>
          <w:b/>
          <w:bCs/>
          <w:sz w:val="32"/>
          <w:szCs w:val="32"/>
        </w:rPr>
        <w:t>’s Virtual NOC</w:t>
      </w:r>
      <w:r>
        <w:rPr>
          <w:rFonts w:ascii="Arial" w:eastAsia="Times New Roman" w:hAnsi="Arial" w:cs="Arial"/>
          <w:b/>
          <w:bCs/>
          <w:sz w:val="32"/>
          <w:szCs w:val="32"/>
        </w:rPr>
        <w:t xml:space="preserve"> for Proactive Live TV Monitoring Technology</w:t>
      </w:r>
    </w:p>
    <w:p w14:paraId="20CD3A86" w14:textId="77777777">
      <w:pPr>
        <w:jc w:val="center"/>
        <w:textAlignment w:val="baseline"/>
        <w:rPr>
          <w:rFonts w:ascii="Arial" w:eastAsia="Times New Roman" w:hAnsi="Arial" w:cs="Arial"/>
          <w:b/>
          <w:bCs/>
          <w:i/>
          <w:iCs/>
          <w:sz w:val="24"/>
        </w:rPr>
      </w:pPr>
    </w:p>
    <w:p w14:paraId="5F2CDBDD" w14:textId="5C59D674">
      <w:pPr>
        <w:jc w:val="center"/>
        <w:textAlignment w:val="baseline"/>
        <w:rPr>
          <w:rFonts w:ascii="Arial" w:eastAsia="Times New Roman" w:hAnsi="Arial" w:cs="Arial"/>
          <w:b/>
          <w:bCs/>
          <w:i/>
          <w:iCs/>
          <w:sz w:val="24"/>
        </w:rPr>
      </w:pPr>
      <w:r>
        <w:rPr>
          <w:rFonts w:ascii="Arial" w:eastAsia="Times New Roman" w:hAnsi="Arial" w:cs="Arial"/>
          <w:b/>
          <w:bCs/>
          <w:i/>
          <w:iCs/>
          <w:sz w:val="24"/>
        </w:rPr>
        <w:t xml:space="preserve">Mitchell Seaforth Cable TV Relies on Witbe’s Award-Winning Witbox and Channel Change </w:t>
      </w:r>
      <w:r>
        <w:rPr>
          <w:rFonts w:ascii="Arial" w:eastAsia="Times New Roman" w:hAnsi="Arial" w:cs="Arial"/>
          <w:b/>
          <w:bCs/>
          <w:i/>
          <w:iCs/>
          <w:sz w:val="24"/>
        </w:rPr>
        <w:t xml:space="preserve">Technology </w:t>
      </w:r>
      <w:r>
        <w:rPr>
          <w:rFonts w:ascii="Arial" w:eastAsia="Times New Roman" w:hAnsi="Arial" w:cs="Arial"/>
          <w:b/>
          <w:bCs/>
          <w:i/>
          <w:iCs/>
          <w:sz w:val="24"/>
        </w:rPr>
        <w:t xml:space="preserve">for Live Cable TV Monitoring </w:t>
      </w:r>
    </w:p>
    <w:p w14:paraId="42D62E57" w14:textId="1650D676">
      <w:pPr>
        <w:jc w:val="center"/>
        <w:textAlignment w:val="baseline"/>
        <w:rPr>
          <w:rFonts w:ascii="Arial" w:eastAsia="Times New Roman" w:hAnsi="Arial" w:cs="Arial"/>
          <w:b/>
          <w:bCs/>
          <w:i/>
          <w:iCs/>
          <w:sz w:val="24"/>
        </w:rPr>
      </w:pPr>
      <w:r>
        <w:rPr>
          <w:rFonts w:ascii="Arial" w:eastAsia="Times New Roman" w:hAnsi="Arial" w:cs="Arial"/>
          <w:sz w:val="32"/>
          <w:szCs w:val="32"/>
        </w:rPr>
        <w:t> </w:t>
      </w:r>
    </w:p>
    <w:p w14:paraId="0E821F6D" w14:textId="70862523">
      <w:pPr>
        <w:spacing w:line="360" w:lineRule="auto"/>
        <w:textAlignment w:val="baseline"/>
        <w:rPr>
          <w:rFonts w:ascii="Arial" w:eastAsia="Times New Roman" w:hAnsi="Arial" w:cs="Arial"/>
          <w:szCs w:val="22"/>
        </w:rPr>
      </w:pPr>
      <w:r>
        <w:rPr>
          <w:rFonts w:ascii="Arial" w:eastAsia="Times New Roman" w:hAnsi="Arial" w:cs="Arial"/>
          <w:b/>
          <w:bCs/>
          <w:szCs w:val="22"/>
        </w:rPr>
        <w:t xml:space="preserve">NEW YORK — </w:t>
      </w:r>
      <w:r>
        <w:rPr>
          <w:rFonts w:ascii="Arial" w:eastAsia="Times New Roman" w:hAnsi="Arial" w:cs="Arial"/>
          <w:b/>
          <w:bCs/>
          <w:szCs w:val="22"/>
        </w:rPr>
        <w:t xml:space="preserve">Oct. </w:t>
      </w:r>
      <w:r>
        <w:rPr>
          <w:rFonts w:ascii="Arial" w:eastAsia="Times New Roman" w:hAnsi="Arial" w:cs="Arial"/>
          <w:b/>
          <w:bCs/>
          <w:szCs w:val="22"/>
        </w:rPr>
        <w:t>22</w:t>
      </w:r>
      <w:r>
        <w:rPr>
          <w:rFonts w:ascii="Arial" w:eastAsia="Times New Roman" w:hAnsi="Arial" w:cs="Arial"/>
          <w:b/>
          <w:bCs/>
          <w:szCs w:val="22"/>
        </w:rPr>
        <w:t>, 2024</w:t>
      </w:r>
      <w:r>
        <w:rPr>
          <w:rFonts w:ascii="Arial" w:eastAsia="Times New Roman" w:hAnsi="Arial" w:cs="Arial"/>
          <w:szCs w:val="22"/>
        </w:rPr>
        <w:t xml:space="preserve"> </w:t>
      </w:r>
      <w:r>
        <w:rPr>
          <w:rFonts w:ascii="Arial" w:eastAsia="Times New Roman" w:hAnsi="Arial" w:cs="Arial"/>
          <w:b/>
          <w:bCs/>
          <w:szCs w:val="22"/>
        </w:rPr>
        <w:t xml:space="preserve">— </w:t>
      </w:r>
      <w:r>
        <w:rPr>
          <w:rFonts w:ascii="Arial" w:eastAsia="Times New Roman" w:hAnsi="Arial" w:cs="Arial"/>
          <w:szCs w:val="22"/>
        </w:rPr>
        <w:t>Witbe (Euronext Growth – FR0013143872 – ALWIT), a global leader in test automation and monitoring technology for video service providers, today announced that Mitchell Seaforth Cable TV (MSCTV)</w:t>
      </w:r>
      <w:r>
        <w:rPr>
          <w:rFonts w:ascii="Arial" w:eastAsia="Times New Roman" w:hAnsi="Arial" w:cs="Arial"/>
          <w:szCs w:val="22"/>
        </w:rPr>
        <w:t xml:space="preserve">, a leading Canadian provider of </w:t>
      </w:r>
      <w:r>
        <w:rPr>
          <w:rFonts w:ascii="Arial" w:eastAsia="Times New Roman" w:hAnsi="Arial" w:cs="Arial"/>
          <w:szCs w:val="22"/>
        </w:rPr>
        <w:t xml:space="preserve">unique </w:t>
      </w:r>
      <w:r>
        <w:rPr>
          <w:rFonts w:ascii="Arial" w:eastAsia="Times New Roman" w:hAnsi="Arial" w:cs="Arial"/>
          <w:szCs w:val="22"/>
        </w:rPr>
        <w:t xml:space="preserve">solutions to telecommunications companies, is using </w:t>
      </w:r>
      <w:r>
        <w:rPr>
          <w:rFonts w:ascii="Arial" w:eastAsia="Times New Roman" w:hAnsi="Arial" w:cs="Arial"/>
          <w:szCs w:val="22"/>
        </w:rPr>
        <w:t>Witbe’s</w:t>
      </w:r>
      <w:r>
        <w:rPr>
          <w:rFonts w:ascii="Arial" w:eastAsia="Times New Roman" w:hAnsi="Arial" w:cs="Arial"/>
          <w:szCs w:val="22"/>
        </w:rPr>
        <w:t xml:space="preserve"> proactive monitoring technology</w:t>
      </w:r>
      <w:r>
        <w:rPr>
          <w:rFonts w:ascii="Arial" w:eastAsia="Times New Roman" w:hAnsi="Arial" w:cs="Arial"/>
          <w:szCs w:val="22"/>
        </w:rPr>
        <w:t xml:space="preserve"> as a virtual Network Operation Center (NOC)</w:t>
      </w:r>
      <w:r>
        <w:rPr>
          <w:rFonts w:ascii="Arial" w:eastAsia="Times New Roman" w:hAnsi="Arial" w:cs="Arial"/>
          <w:szCs w:val="22"/>
        </w:rPr>
        <w:t xml:space="preserve"> —</w:t>
      </w:r>
      <w:r>
        <w:rPr>
          <w:rFonts w:ascii="Arial" w:eastAsia="Times New Roman" w:hAnsi="Arial" w:cs="Arial"/>
          <w:szCs w:val="22"/>
        </w:rPr>
        <w:t xml:space="preserve"> accessible from anywhere in the world</w:t>
      </w:r>
      <w:r>
        <w:rPr>
          <w:rFonts w:ascii="Arial" w:eastAsia="Times New Roman" w:hAnsi="Arial" w:cs="Arial"/>
          <w:szCs w:val="22"/>
        </w:rPr>
        <w:t>. With the monitoring data</w:t>
      </w:r>
      <w:r>
        <w:rPr>
          <w:rFonts w:ascii="Arial" w:eastAsia="Times New Roman" w:hAnsi="Arial" w:cs="Arial"/>
          <w:szCs w:val="22"/>
        </w:rPr>
        <w:t xml:space="preserve"> they receive</w:t>
      </w:r>
      <w:r>
        <w:rPr>
          <w:rFonts w:ascii="Arial" w:eastAsia="Times New Roman" w:hAnsi="Arial" w:cs="Arial"/>
          <w:szCs w:val="22"/>
        </w:rPr>
        <w:t xml:space="preserve"> from Witbe</w:t>
      </w:r>
      <w:r>
        <w:rPr>
          <w:rFonts w:ascii="Arial" w:eastAsia="Times New Roman" w:hAnsi="Arial" w:cs="Arial"/>
          <w:szCs w:val="22"/>
        </w:rPr>
        <w:t>’s technology</w:t>
      </w:r>
      <w:r>
        <w:rPr>
          <w:rFonts w:ascii="Arial" w:eastAsia="Times New Roman" w:hAnsi="Arial" w:cs="Arial"/>
          <w:szCs w:val="22"/>
        </w:rPr>
        <w:t xml:space="preserve">, MSCTV can provide a superior </w:t>
      </w:r>
      <w:r>
        <w:rPr>
          <w:rFonts w:ascii="Arial" w:eastAsia="Times New Roman" w:hAnsi="Arial" w:cs="Arial"/>
          <w:szCs w:val="22"/>
        </w:rPr>
        <w:t>video</w:t>
      </w:r>
      <w:r>
        <w:rPr>
          <w:rFonts w:ascii="Arial" w:eastAsia="Times New Roman" w:hAnsi="Arial" w:cs="Arial"/>
          <w:szCs w:val="22"/>
        </w:rPr>
        <w:t xml:space="preserve"> quality of experience to linear TV application</w:t>
      </w:r>
      <w:r>
        <w:rPr>
          <w:rFonts w:ascii="Arial" w:eastAsia="Times New Roman" w:hAnsi="Arial" w:cs="Arial"/>
          <w:szCs w:val="22"/>
        </w:rPr>
        <w:t xml:space="preserve"> </w:t>
      </w:r>
      <w:r>
        <w:rPr>
          <w:rFonts w:ascii="Arial" w:eastAsia="Times New Roman" w:hAnsi="Arial" w:cs="Arial"/>
          <w:szCs w:val="22"/>
        </w:rPr>
        <w:t>users</w:t>
      </w:r>
      <w:r>
        <w:rPr>
          <w:rFonts w:ascii="Arial" w:eastAsia="Times New Roman" w:hAnsi="Arial" w:cs="Arial"/>
          <w:szCs w:val="22"/>
        </w:rPr>
        <w:t>.</w:t>
      </w:r>
    </w:p>
    <w:p w14:paraId="396E2408" w14:textId="77777777">
      <w:pPr>
        <w:spacing w:line="360" w:lineRule="auto"/>
        <w:textAlignment w:val="baseline"/>
        <w:rPr>
          <w:rFonts w:ascii="Arial" w:eastAsia="Times New Roman" w:hAnsi="Arial" w:cs="Arial"/>
          <w:szCs w:val="22"/>
        </w:rPr>
      </w:pPr>
    </w:p>
    <w:p w14:paraId="328989AE" w14:textId="7CC5F1DB">
      <w:pPr>
        <w:spacing w:line="360" w:lineRule="auto"/>
        <w:textAlignment w:val="baseline"/>
        <w:rPr>
          <w:rFonts w:ascii="Arial" w:eastAsia="Times New Roman" w:hAnsi="Arial" w:cs="Arial"/>
          <w:szCs w:val="22"/>
        </w:rPr>
      </w:pPr>
      <w:r>
        <w:rPr>
          <w:rFonts w:ascii="Arial" w:eastAsia="Times New Roman" w:hAnsi="Arial" w:cs="Arial"/>
          <w:szCs w:val="22"/>
        </w:rPr>
        <w:t xml:space="preserve">“Video quality is a fundamental pillar of success at MSCTV. </w:t>
      </w:r>
      <w:r>
        <w:rPr>
          <w:rFonts w:ascii="Arial" w:eastAsia="Times New Roman" w:hAnsi="Arial" w:cs="Arial"/>
          <w:szCs w:val="22"/>
        </w:rPr>
        <w:t>O</w:t>
      </w:r>
      <w:r>
        <w:rPr>
          <w:rFonts w:ascii="Arial" w:eastAsia="Times New Roman" w:hAnsi="Arial" w:cs="Arial"/>
          <w:szCs w:val="22"/>
        </w:rPr>
        <w:t>ur partnership with Witbe ensures</w:t>
      </w:r>
      <w:r>
        <w:rPr>
          <w:rFonts w:ascii="Arial" w:eastAsia="Times New Roman" w:hAnsi="Arial" w:cs="Arial"/>
          <w:szCs w:val="22"/>
        </w:rPr>
        <w:t xml:space="preserve"> that we can meet and exceed our customers’ expectations for an exceptional</w:t>
      </w:r>
      <w:r>
        <w:rPr>
          <w:rFonts w:ascii="Arial" w:eastAsia="Times New Roman" w:hAnsi="Arial" w:cs="Arial"/>
          <w:szCs w:val="22"/>
        </w:rPr>
        <w:t xml:space="preserve"> </w:t>
      </w:r>
      <w:r>
        <w:rPr>
          <w:rFonts w:ascii="Arial" w:eastAsia="Times New Roman" w:hAnsi="Arial" w:cs="Arial"/>
          <w:szCs w:val="22"/>
        </w:rPr>
        <w:t xml:space="preserve">linear </w:t>
      </w:r>
      <w:r>
        <w:rPr>
          <w:rFonts w:ascii="Arial" w:eastAsia="Times New Roman" w:hAnsi="Arial" w:cs="Arial"/>
          <w:szCs w:val="22"/>
        </w:rPr>
        <w:t xml:space="preserve">viewing experience,” said </w:t>
      </w:r>
      <w:r>
        <w:rPr>
          <w:rFonts w:ascii="Arial" w:eastAsia="Times New Roman" w:hAnsi="Arial" w:cs="Arial"/>
          <w:szCs w:val="22"/>
        </w:rPr>
        <w:t xml:space="preserve">Michael Hawkes, </w:t>
      </w:r>
      <w:r>
        <w:rPr>
          <w:rFonts w:ascii="Arial" w:eastAsia="Times New Roman" w:hAnsi="Arial" w:cs="Arial"/>
          <w:szCs w:val="22"/>
        </w:rPr>
        <w:t>g</w:t>
      </w:r>
      <w:r>
        <w:rPr>
          <w:rFonts w:ascii="Arial" w:eastAsia="Times New Roman" w:hAnsi="Arial" w:cs="Arial"/>
          <w:szCs w:val="22"/>
        </w:rPr>
        <w:t xml:space="preserve">eneral </w:t>
      </w:r>
      <w:r>
        <w:rPr>
          <w:rFonts w:ascii="Arial" w:eastAsia="Times New Roman" w:hAnsi="Arial" w:cs="Arial"/>
          <w:szCs w:val="22"/>
        </w:rPr>
        <w:t>m</w:t>
      </w:r>
      <w:r>
        <w:rPr>
          <w:rFonts w:ascii="Arial" w:eastAsia="Times New Roman" w:hAnsi="Arial" w:cs="Arial"/>
          <w:szCs w:val="22"/>
        </w:rPr>
        <w:t>anager at MSCTV. “</w:t>
      </w:r>
      <w:r>
        <w:rPr>
          <w:rFonts w:ascii="Arial" w:eastAsia="Times New Roman" w:hAnsi="Arial" w:cs="Arial"/>
          <w:szCs w:val="22"/>
        </w:rPr>
        <w:t xml:space="preserve">Witbe’s technology will play a </w:t>
      </w:r>
      <w:r>
        <w:rPr>
          <w:rFonts w:ascii="Arial" w:eastAsia="Times New Roman" w:hAnsi="Arial" w:cs="Arial"/>
          <w:szCs w:val="22"/>
        </w:rPr>
        <w:t xml:space="preserve">significant </w:t>
      </w:r>
      <w:r>
        <w:rPr>
          <w:rFonts w:ascii="Arial" w:eastAsia="Times New Roman" w:hAnsi="Arial" w:cs="Arial"/>
          <w:szCs w:val="22"/>
        </w:rPr>
        <w:t>role in ensuring</w:t>
      </w:r>
      <w:r>
        <w:rPr>
          <w:rFonts w:ascii="Arial" w:eastAsia="Times New Roman" w:hAnsi="Arial" w:cs="Arial"/>
          <w:szCs w:val="22"/>
        </w:rPr>
        <w:t xml:space="preserve"> that</w:t>
      </w:r>
      <w:r>
        <w:rPr>
          <w:rFonts w:ascii="Arial" w:eastAsia="Times New Roman" w:hAnsi="Arial" w:cs="Arial"/>
          <w:szCs w:val="22"/>
        </w:rPr>
        <w:t xml:space="preserve"> </w:t>
      </w:r>
      <w:r>
        <w:rPr>
          <w:rFonts w:ascii="Arial" w:eastAsia="Times New Roman" w:hAnsi="Arial" w:cs="Arial"/>
          <w:szCs w:val="22"/>
        </w:rPr>
        <w:t>th</w:t>
      </w:r>
      <w:r>
        <w:rPr>
          <w:rFonts w:ascii="Arial" w:eastAsia="Times New Roman" w:hAnsi="Arial" w:cs="Arial"/>
          <w:szCs w:val="22"/>
        </w:rPr>
        <w:t xml:space="preserve">e features and content of our </w:t>
      </w:r>
      <w:r>
        <w:rPr>
          <w:rFonts w:ascii="Arial" w:eastAsia="Times New Roman" w:hAnsi="Arial" w:cs="Arial"/>
          <w:szCs w:val="22"/>
        </w:rPr>
        <w:t>pay-</w:t>
      </w:r>
      <w:r>
        <w:rPr>
          <w:rFonts w:ascii="Arial" w:eastAsia="Times New Roman" w:hAnsi="Arial" w:cs="Arial"/>
          <w:szCs w:val="22"/>
        </w:rPr>
        <w:t>TV service</w:t>
      </w:r>
      <w:r>
        <w:rPr>
          <w:rFonts w:ascii="Arial" w:eastAsia="Times New Roman" w:hAnsi="Arial" w:cs="Arial"/>
          <w:szCs w:val="22"/>
        </w:rPr>
        <w:t>s</w:t>
      </w:r>
      <w:r>
        <w:rPr>
          <w:rFonts w:ascii="Arial" w:eastAsia="Times New Roman" w:hAnsi="Arial" w:cs="Arial"/>
          <w:szCs w:val="22"/>
        </w:rPr>
        <w:t xml:space="preserve"> are validated, tested, and presented to our customers </w:t>
      </w:r>
      <w:r>
        <w:rPr>
          <w:rFonts w:ascii="Arial" w:eastAsia="Times New Roman" w:hAnsi="Arial" w:cs="Arial"/>
          <w:szCs w:val="22"/>
        </w:rPr>
        <w:t>with outstanding</w:t>
      </w:r>
      <w:r>
        <w:rPr>
          <w:rFonts w:ascii="Arial" w:eastAsia="Times New Roman" w:hAnsi="Arial" w:cs="Arial"/>
          <w:szCs w:val="22"/>
        </w:rPr>
        <w:t xml:space="preserve"> </w:t>
      </w:r>
      <w:r>
        <w:rPr>
          <w:rFonts w:ascii="Arial" w:eastAsia="Times New Roman" w:hAnsi="Arial" w:cs="Arial"/>
          <w:szCs w:val="22"/>
        </w:rPr>
        <w:t>quality</w:t>
      </w:r>
      <w:r>
        <w:rPr>
          <w:rFonts w:ascii="Arial" w:eastAsia="Times New Roman" w:hAnsi="Arial" w:cs="Arial"/>
          <w:szCs w:val="22"/>
        </w:rPr>
        <w:t>.”</w:t>
      </w:r>
    </w:p>
    <w:p w14:paraId="2A945BA9" w14:textId="77777777">
      <w:pPr>
        <w:spacing w:line="360" w:lineRule="auto"/>
        <w:textAlignment w:val="baseline"/>
        <w:rPr>
          <w:rFonts w:ascii="Arial" w:eastAsia="Times New Roman" w:hAnsi="Arial" w:cs="Arial"/>
          <w:szCs w:val="22"/>
        </w:rPr>
      </w:pPr>
    </w:p>
    <w:p w14:paraId="749D2778" w14:textId="0ABA2612">
      <w:pPr>
        <w:spacing w:line="360" w:lineRule="auto"/>
        <w:textAlignment w:val="baseline"/>
        <w:rPr>
          <w:rFonts w:ascii="Arial" w:eastAsia="Times New Roman" w:hAnsi="Arial" w:cs="Arial"/>
          <w:szCs w:val="22"/>
        </w:rPr>
      </w:pPr>
      <w:r>
        <w:rPr>
          <w:rFonts w:ascii="Arial" w:eastAsia="Times New Roman" w:hAnsi="Arial" w:cs="Arial"/>
          <w:szCs w:val="22"/>
        </w:rPr>
        <w:t>Witbe’s proactive monitoring technology</w:t>
      </w:r>
      <w:r>
        <w:rPr>
          <w:rFonts w:ascii="Arial" w:eastAsia="Times New Roman" w:hAnsi="Arial" w:cs="Arial"/>
          <w:szCs w:val="22"/>
        </w:rPr>
        <w:t xml:space="preserve"> </w:t>
      </w:r>
      <w:r>
        <w:rPr>
          <w:rFonts w:ascii="Arial" w:eastAsia="Times New Roman" w:hAnsi="Arial" w:cs="Arial"/>
          <w:szCs w:val="22"/>
        </w:rPr>
        <w:t>automatically monitor</w:t>
      </w:r>
      <w:r>
        <w:rPr>
          <w:rFonts w:ascii="Arial" w:eastAsia="Times New Roman" w:hAnsi="Arial" w:cs="Arial"/>
          <w:szCs w:val="22"/>
        </w:rPr>
        <w:t xml:space="preserve">s </w:t>
      </w:r>
      <w:r>
        <w:rPr>
          <w:rFonts w:ascii="Arial" w:eastAsia="Times New Roman" w:hAnsi="Arial" w:cs="Arial"/>
          <w:szCs w:val="22"/>
        </w:rPr>
        <w:t xml:space="preserve">any video service </w:t>
      </w:r>
      <w:r>
        <w:rPr>
          <w:rFonts w:ascii="Arial" w:eastAsia="Times New Roman" w:hAnsi="Arial" w:cs="Arial"/>
          <w:szCs w:val="22"/>
        </w:rPr>
        <w:t>running</w:t>
      </w:r>
      <w:r>
        <w:rPr>
          <w:rFonts w:ascii="Arial" w:eastAsia="Times New Roman" w:hAnsi="Arial" w:cs="Arial"/>
          <w:szCs w:val="22"/>
        </w:rPr>
        <w:t xml:space="preserve"> on a physical device plugged into a Witbox — the company’s signature </w:t>
      </w:r>
      <w:r>
        <w:rPr>
          <w:rFonts w:ascii="Arial" w:eastAsia="Times New Roman" w:hAnsi="Arial" w:cs="Arial"/>
          <w:szCs w:val="22"/>
        </w:rPr>
        <w:t>testing robot</w:t>
      </w:r>
      <w:r>
        <w:rPr>
          <w:rFonts w:ascii="Arial" w:eastAsia="Times New Roman" w:hAnsi="Arial" w:cs="Arial"/>
          <w:szCs w:val="22"/>
        </w:rPr>
        <w:t xml:space="preserve">. </w:t>
      </w:r>
      <w:r>
        <w:rPr>
          <w:rFonts w:ascii="Arial" w:eastAsia="Times New Roman" w:hAnsi="Arial" w:cs="Arial"/>
          <w:szCs w:val="22"/>
        </w:rPr>
        <w:t>MSCTV is using</w:t>
      </w:r>
      <w:r>
        <w:rPr>
          <w:rFonts w:ascii="Arial" w:eastAsia="Times New Roman" w:hAnsi="Arial" w:cs="Arial"/>
          <w:szCs w:val="22"/>
        </w:rPr>
        <w:t xml:space="preserve"> the Witbox</w:t>
      </w:r>
      <w:r>
        <w:rPr>
          <w:rFonts w:ascii="Arial" w:eastAsia="Times New Roman" w:hAnsi="Arial" w:cs="Arial"/>
          <w:szCs w:val="22"/>
          <w:vertAlign w:val="superscript"/>
        </w:rPr>
        <w:t>+</w:t>
      </w:r>
      <w:r>
        <w:rPr>
          <w:rFonts w:ascii="Arial" w:eastAsia="Times New Roman" w:hAnsi="Arial" w:cs="Arial"/>
          <w:szCs w:val="22"/>
        </w:rPr>
        <w:t xml:space="preserve"> to </w:t>
      </w:r>
      <w:r>
        <w:rPr>
          <w:rFonts w:ascii="Arial" w:eastAsia="Times New Roman" w:hAnsi="Arial" w:cs="Arial"/>
          <w:szCs w:val="22"/>
        </w:rPr>
        <w:t xml:space="preserve">efficiently </w:t>
      </w:r>
      <w:r>
        <w:rPr>
          <w:rFonts w:ascii="Arial" w:eastAsia="Times New Roman" w:hAnsi="Arial" w:cs="Arial"/>
          <w:szCs w:val="22"/>
        </w:rPr>
        <w:t xml:space="preserve">test </w:t>
      </w:r>
      <w:r>
        <w:rPr>
          <w:rFonts w:ascii="Arial" w:eastAsia="Times New Roman" w:hAnsi="Arial" w:cs="Arial"/>
          <w:szCs w:val="22"/>
        </w:rPr>
        <w:t>Ti</w:t>
      </w:r>
      <w:r>
        <w:rPr>
          <w:rFonts w:ascii="Arial" w:eastAsia="Times New Roman" w:hAnsi="Arial" w:cs="Arial"/>
          <w:szCs w:val="22"/>
        </w:rPr>
        <w:t>Vo</w:t>
      </w:r>
      <w:r>
        <w:rPr>
          <w:rFonts w:ascii="Arial" w:eastAsia="Times New Roman" w:hAnsi="Arial" w:cs="Arial"/>
          <w:szCs w:val="22"/>
        </w:rPr>
        <w:t xml:space="preserve"> white-labeled video </w:t>
      </w:r>
      <w:r>
        <w:rPr>
          <w:rFonts w:ascii="Arial" w:eastAsia="Times New Roman" w:hAnsi="Arial" w:cs="Arial"/>
          <w:szCs w:val="22"/>
        </w:rPr>
        <w:t xml:space="preserve">apps </w:t>
      </w:r>
      <w:r>
        <w:rPr>
          <w:rFonts w:ascii="Arial" w:eastAsia="Times New Roman" w:hAnsi="Arial" w:cs="Arial"/>
          <w:szCs w:val="22"/>
        </w:rPr>
        <w:t>running on real set-top boxes.</w:t>
      </w:r>
      <w:r>
        <w:rPr>
          <w:rFonts w:ascii="Arial" w:eastAsia="Times New Roman" w:hAnsi="Arial" w:cs="Arial"/>
          <w:szCs w:val="22"/>
        </w:rPr>
        <w:t xml:space="preserve"> With Witbe’s </w:t>
      </w:r>
      <w:r>
        <w:rPr>
          <w:rFonts w:ascii="Arial" w:eastAsia="Times New Roman" w:hAnsi="Arial" w:cs="Arial"/>
          <w:szCs w:val="22"/>
        </w:rPr>
        <w:t xml:space="preserve">virtual NOC </w:t>
      </w:r>
      <w:r>
        <w:rPr>
          <w:rFonts w:ascii="Arial" w:eastAsia="Times New Roman" w:hAnsi="Arial" w:cs="Arial"/>
          <w:szCs w:val="22"/>
        </w:rPr>
        <w:t xml:space="preserve">technology, </w:t>
      </w:r>
      <w:r>
        <w:rPr>
          <w:rFonts w:ascii="Arial" w:eastAsia="Times New Roman" w:hAnsi="Arial" w:cs="Arial"/>
          <w:szCs w:val="22"/>
        </w:rPr>
        <w:t>service provider</w:t>
      </w:r>
      <w:r>
        <w:rPr>
          <w:rFonts w:ascii="Arial" w:eastAsia="Times New Roman" w:hAnsi="Arial" w:cs="Arial"/>
          <w:szCs w:val="22"/>
        </w:rPr>
        <w:t>s</w:t>
      </w:r>
      <w:r>
        <w:rPr>
          <w:rFonts w:ascii="Arial" w:eastAsia="Times New Roman" w:hAnsi="Arial" w:cs="Arial"/>
          <w:szCs w:val="22"/>
        </w:rPr>
        <w:t xml:space="preserve"> </w:t>
      </w:r>
      <w:r>
        <w:rPr>
          <w:rFonts w:ascii="Arial" w:eastAsia="Times New Roman" w:hAnsi="Arial" w:cs="Arial"/>
          <w:szCs w:val="22"/>
        </w:rPr>
        <w:t xml:space="preserve">can remotely control </w:t>
      </w:r>
      <w:r>
        <w:rPr>
          <w:rFonts w:ascii="Arial" w:eastAsia="Times New Roman" w:hAnsi="Arial" w:cs="Arial"/>
          <w:szCs w:val="22"/>
        </w:rPr>
        <w:t xml:space="preserve">their local </w:t>
      </w:r>
      <w:r>
        <w:rPr>
          <w:rFonts w:ascii="Arial" w:eastAsia="Times New Roman" w:hAnsi="Arial" w:cs="Arial"/>
          <w:szCs w:val="22"/>
        </w:rPr>
        <w:t>field-testing</w:t>
      </w:r>
      <w:r>
        <w:rPr>
          <w:rFonts w:ascii="Arial" w:eastAsia="Times New Roman" w:hAnsi="Arial" w:cs="Arial"/>
          <w:szCs w:val="22"/>
        </w:rPr>
        <w:t xml:space="preserve"> </w:t>
      </w:r>
      <w:r>
        <w:rPr>
          <w:rFonts w:ascii="Arial" w:eastAsia="Times New Roman" w:hAnsi="Arial" w:cs="Arial"/>
          <w:szCs w:val="22"/>
        </w:rPr>
        <w:t>test devices and supervise</w:t>
      </w:r>
      <w:r>
        <w:rPr>
          <w:rFonts w:ascii="Arial" w:eastAsia="Times New Roman" w:hAnsi="Arial" w:cs="Arial"/>
          <w:szCs w:val="22"/>
        </w:rPr>
        <w:t xml:space="preserve"> their</w:t>
      </w:r>
      <w:r>
        <w:rPr>
          <w:rFonts w:ascii="Arial" w:eastAsia="Times New Roman" w:hAnsi="Arial" w:cs="Arial"/>
          <w:szCs w:val="22"/>
        </w:rPr>
        <w:t xml:space="preserve"> </w:t>
      </w:r>
      <w:r>
        <w:rPr>
          <w:rFonts w:ascii="Arial" w:eastAsia="Times New Roman" w:hAnsi="Arial" w:cs="Arial"/>
          <w:szCs w:val="22"/>
        </w:rPr>
        <w:t>service from any</w:t>
      </w:r>
      <w:r>
        <w:rPr>
          <w:rFonts w:ascii="Arial" w:eastAsia="Times New Roman" w:hAnsi="Arial" w:cs="Arial"/>
          <w:szCs w:val="22"/>
        </w:rPr>
        <w:t xml:space="preserve"> global location.</w:t>
      </w:r>
    </w:p>
    <w:p w14:paraId="444BE761" w14:textId="77777777">
      <w:pPr>
        <w:spacing w:line="360" w:lineRule="auto"/>
        <w:textAlignment w:val="baseline"/>
        <w:rPr>
          <w:rFonts w:ascii="Arial" w:eastAsia="Times New Roman" w:hAnsi="Arial" w:cs="Arial"/>
          <w:szCs w:val="22"/>
        </w:rPr>
      </w:pPr>
    </w:p>
    <w:p w14:paraId="7EABA639" w14:textId="5AF59F58">
      <w:pPr>
        <w:spacing w:line="360" w:lineRule="auto"/>
        <w:textAlignment w:val="baseline"/>
        <w:rPr>
          <w:rFonts w:ascii="Arial" w:eastAsia="Times New Roman" w:hAnsi="Arial" w:cs="Arial"/>
          <w:szCs w:val="22"/>
        </w:rPr>
      </w:pPr>
      <w:r>
        <w:rPr>
          <w:rFonts w:ascii="Arial" w:eastAsia="Times New Roman" w:hAnsi="Arial" w:cs="Arial"/>
          <w:szCs w:val="22"/>
        </w:rPr>
        <w:t xml:space="preserve">“Our proactive monitoring technology </w:t>
      </w:r>
      <w:r>
        <w:rPr>
          <w:rFonts w:ascii="Arial" w:eastAsia="Times New Roman" w:hAnsi="Arial" w:cs="Arial"/>
          <w:szCs w:val="22"/>
        </w:rPr>
        <w:t>give</w:t>
      </w:r>
      <w:r>
        <w:rPr>
          <w:rFonts w:ascii="Arial" w:eastAsia="Times New Roman" w:hAnsi="Arial" w:cs="Arial"/>
          <w:szCs w:val="22"/>
        </w:rPr>
        <w:t>s providers a reliable eye on their video service at all times,” said Mathieu Planche, CEO at Witbe. “We’re</w:t>
      </w:r>
      <w:r>
        <w:rPr>
          <w:rFonts w:ascii="Arial" w:eastAsia="Times New Roman" w:hAnsi="Arial" w:cs="Arial"/>
          <w:szCs w:val="22"/>
        </w:rPr>
        <w:t xml:space="preserve"> pleased that our live TV monitoring technology is assisting MSCTV as they oversee many different linear TV applications</w:t>
      </w:r>
      <w:r>
        <w:rPr>
          <w:rFonts w:ascii="Arial" w:eastAsia="Times New Roman" w:hAnsi="Arial" w:cs="Arial"/>
          <w:szCs w:val="22"/>
        </w:rPr>
        <w:t xml:space="preserve">, </w:t>
      </w:r>
      <w:r>
        <w:rPr>
          <w:rFonts w:ascii="Arial" w:eastAsia="Times New Roman" w:hAnsi="Arial" w:cs="Arial"/>
          <w:szCs w:val="22"/>
        </w:rPr>
        <w:t>giv</w:t>
      </w:r>
      <w:r>
        <w:rPr>
          <w:rFonts w:ascii="Arial" w:eastAsia="Times New Roman" w:hAnsi="Arial" w:cs="Arial"/>
          <w:szCs w:val="22"/>
        </w:rPr>
        <w:t>ing</w:t>
      </w:r>
      <w:r>
        <w:rPr>
          <w:rFonts w:ascii="Arial" w:eastAsia="Times New Roman" w:hAnsi="Arial" w:cs="Arial"/>
          <w:szCs w:val="22"/>
        </w:rPr>
        <w:t xml:space="preserve"> their team the tools to identify and resolve </w:t>
      </w:r>
      <w:r>
        <w:rPr>
          <w:rFonts w:ascii="Arial" w:eastAsia="Times New Roman" w:hAnsi="Arial" w:cs="Arial"/>
          <w:szCs w:val="22"/>
        </w:rPr>
        <w:t xml:space="preserve">any potential </w:t>
      </w:r>
      <w:r>
        <w:rPr>
          <w:rFonts w:ascii="Arial" w:eastAsia="Times New Roman" w:hAnsi="Arial" w:cs="Arial"/>
          <w:szCs w:val="22"/>
        </w:rPr>
        <w:t>video errors quicker than ever before</w:t>
      </w:r>
      <w:r>
        <w:rPr>
          <w:rFonts w:ascii="Arial" w:eastAsia="Times New Roman" w:hAnsi="Arial" w:cs="Arial"/>
          <w:szCs w:val="22"/>
        </w:rPr>
        <w:t>.”</w:t>
      </w:r>
    </w:p>
    <w:p w14:paraId="6810EDAC" w14:textId="77777777">
      <w:pPr>
        <w:spacing w:line="360" w:lineRule="auto"/>
        <w:textAlignment w:val="baseline"/>
        <w:rPr>
          <w:rFonts w:ascii="Arial" w:eastAsia="Times New Roman" w:hAnsi="Arial" w:cs="Arial"/>
          <w:szCs w:val="22"/>
        </w:rPr>
      </w:pPr>
    </w:p>
    <w:p w14:paraId="0559D824" w14:textId="7C2C542A">
      <w:pPr>
        <w:spacing w:line="360" w:lineRule="auto"/>
        <w:textAlignment w:val="baseline"/>
        <w:rPr>
          <w:rFonts w:ascii="Arial" w:eastAsia="Times New Roman" w:hAnsi="Arial" w:cs="Arial"/>
          <w:szCs w:val="22"/>
        </w:rPr>
      </w:pPr>
      <w:r>
        <w:rPr>
          <w:rFonts w:ascii="Arial" w:eastAsia="Times New Roman" w:hAnsi="Arial" w:cs="Arial"/>
          <w:szCs w:val="22"/>
        </w:rPr>
        <w:t xml:space="preserve">MSCTV is </w:t>
      </w:r>
      <w:r>
        <w:rPr>
          <w:rFonts w:ascii="Arial" w:eastAsia="Times New Roman" w:hAnsi="Arial" w:cs="Arial"/>
          <w:szCs w:val="22"/>
        </w:rPr>
        <w:t>also using</w:t>
      </w:r>
      <w:r>
        <w:rPr>
          <w:rFonts w:ascii="Arial" w:eastAsia="Times New Roman" w:hAnsi="Arial" w:cs="Arial"/>
          <w:szCs w:val="22"/>
        </w:rPr>
        <w:t xml:space="preserve"> Witbe’s </w:t>
      </w:r>
      <w:r>
        <w:rPr>
          <w:rFonts w:ascii="Arial" w:eastAsia="Times New Roman" w:hAnsi="Arial" w:cs="Arial"/>
          <w:szCs w:val="22"/>
        </w:rPr>
        <w:t>widely adopted</w:t>
      </w:r>
      <w:r>
        <w:rPr>
          <w:rFonts w:ascii="Arial" w:eastAsia="Times New Roman" w:hAnsi="Arial" w:cs="Arial"/>
          <w:szCs w:val="22"/>
        </w:rPr>
        <w:t xml:space="preserve"> </w:t>
      </w:r>
      <w:r>
        <w:rPr>
          <w:rFonts w:ascii="Arial" w:eastAsia="Times New Roman" w:hAnsi="Arial" w:cs="Arial"/>
          <w:szCs w:val="22"/>
        </w:rPr>
        <w:t xml:space="preserve">Channel Change </w:t>
      </w:r>
      <w:r>
        <w:rPr>
          <w:rFonts w:ascii="Arial" w:eastAsia="Times New Roman" w:hAnsi="Arial" w:cs="Arial"/>
          <w:szCs w:val="22"/>
        </w:rPr>
        <w:t>technology</w:t>
      </w:r>
      <w:r>
        <w:rPr>
          <w:rFonts w:ascii="Arial" w:eastAsia="Times New Roman" w:hAnsi="Arial" w:cs="Arial"/>
          <w:szCs w:val="22"/>
        </w:rPr>
        <w:t xml:space="preserve"> to</w:t>
      </w:r>
      <w:r>
        <w:rPr>
          <w:rFonts w:ascii="Arial" w:eastAsia="Times New Roman" w:hAnsi="Arial" w:cs="Arial"/>
          <w:szCs w:val="22"/>
        </w:rPr>
        <w:t xml:space="preserve"> automatically monitor the </w:t>
      </w:r>
      <w:r>
        <w:rPr>
          <w:rFonts w:ascii="Arial" w:eastAsia="Times New Roman" w:hAnsi="Arial" w:cs="Arial"/>
          <w:szCs w:val="22"/>
        </w:rPr>
        <w:t xml:space="preserve">live </w:t>
      </w:r>
      <w:r>
        <w:rPr>
          <w:rFonts w:ascii="Arial" w:eastAsia="Times New Roman" w:hAnsi="Arial" w:cs="Arial"/>
          <w:szCs w:val="22"/>
        </w:rPr>
        <w:t xml:space="preserve">availability of all linear channels on a video service. </w:t>
      </w:r>
      <w:r>
        <w:rPr>
          <w:rFonts w:ascii="Arial" w:eastAsia="Times New Roman" w:hAnsi="Arial" w:cs="Arial"/>
          <w:szCs w:val="22"/>
        </w:rPr>
        <w:t>Providers</w:t>
      </w:r>
      <w:r>
        <w:rPr>
          <w:rFonts w:ascii="Arial" w:eastAsia="Times New Roman" w:hAnsi="Arial" w:cs="Arial"/>
          <w:szCs w:val="22"/>
        </w:rPr>
        <w:t xml:space="preserve"> </w:t>
      </w:r>
      <w:r>
        <w:rPr>
          <w:rFonts w:ascii="Arial" w:eastAsia="Times New Roman" w:hAnsi="Arial" w:cs="Arial"/>
          <w:szCs w:val="22"/>
        </w:rPr>
        <w:t xml:space="preserve">utilizing this </w:t>
      </w:r>
      <w:r>
        <w:rPr>
          <w:rFonts w:ascii="Arial" w:eastAsia="Times New Roman" w:hAnsi="Arial" w:cs="Arial"/>
          <w:szCs w:val="22"/>
        </w:rPr>
        <w:lastRenderedPageBreak/>
        <w:t xml:space="preserve">technology </w:t>
      </w:r>
      <w:r>
        <w:rPr>
          <w:rFonts w:ascii="Arial" w:eastAsia="Times New Roman" w:hAnsi="Arial" w:cs="Arial"/>
          <w:szCs w:val="22"/>
        </w:rPr>
        <w:t>receive immediate alerts whenever channels are unavailable or experiencing an issue</w:t>
      </w:r>
      <w:r>
        <w:rPr>
          <w:rFonts w:ascii="Arial" w:eastAsia="Times New Roman" w:hAnsi="Arial" w:cs="Arial"/>
          <w:szCs w:val="22"/>
        </w:rPr>
        <w:t xml:space="preserve"> </w:t>
      </w:r>
      <w:r>
        <w:rPr>
          <w:rFonts w:ascii="Arial" w:eastAsia="Times New Roman" w:hAnsi="Arial" w:cs="Arial"/>
          <w:szCs w:val="22"/>
        </w:rPr>
        <w:t>—</w:t>
      </w:r>
      <w:r>
        <w:rPr>
          <w:rFonts w:ascii="Arial" w:eastAsia="Times New Roman" w:hAnsi="Arial" w:cs="Arial"/>
          <w:szCs w:val="22"/>
        </w:rPr>
        <w:t xml:space="preserve"> </w:t>
      </w:r>
      <w:r>
        <w:rPr>
          <w:rFonts w:ascii="Arial" w:eastAsia="Times New Roman" w:hAnsi="Arial" w:cs="Arial"/>
          <w:szCs w:val="22"/>
        </w:rPr>
        <w:t xml:space="preserve">helping teams resolve errors before viewers even notice them. </w:t>
      </w:r>
      <w:r>
        <w:rPr>
          <w:rFonts w:ascii="Arial" w:eastAsia="Times New Roman" w:hAnsi="Arial" w:cs="Arial"/>
          <w:szCs w:val="22"/>
        </w:rPr>
        <w:t xml:space="preserve">Alerts and KPIs are also displayed live in the virtual NOC for active users to instantly verify. </w:t>
      </w:r>
      <w:r>
        <w:rPr>
          <w:rFonts w:ascii="Arial" w:eastAsia="Times New Roman" w:hAnsi="Arial" w:cs="Arial"/>
          <w:szCs w:val="22"/>
        </w:rPr>
        <w:t xml:space="preserve">All monitoring data is then compiled in Smartgate, Witbe’s observability platform, where </w:t>
      </w:r>
      <w:r>
        <w:rPr>
          <w:rFonts w:ascii="Arial" w:eastAsia="Times New Roman" w:hAnsi="Arial" w:cs="Arial"/>
          <w:szCs w:val="22"/>
        </w:rPr>
        <w:t xml:space="preserve">results </w:t>
      </w:r>
      <w:r>
        <w:rPr>
          <w:rFonts w:ascii="Arial" w:eastAsia="Times New Roman" w:hAnsi="Arial" w:cs="Arial"/>
          <w:szCs w:val="22"/>
        </w:rPr>
        <w:t xml:space="preserve">can </w:t>
      </w:r>
      <w:r>
        <w:rPr>
          <w:rFonts w:ascii="Arial" w:eastAsia="Times New Roman" w:hAnsi="Arial" w:cs="Arial"/>
          <w:szCs w:val="22"/>
        </w:rPr>
        <w:t xml:space="preserve">be </w:t>
      </w:r>
      <w:r>
        <w:rPr>
          <w:rFonts w:ascii="Arial" w:eastAsia="Times New Roman" w:hAnsi="Arial" w:cs="Arial"/>
          <w:szCs w:val="22"/>
        </w:rPr>
        <w:t>analyze</w:t>
      </w:r>
      <w:r>
        <w:rPr>
          <w:rFonts w:ascii="Arial" w:eastAsia="Times New Roman" w:hAnsi="Arial" w:cs="Arial"/>
          <w:szCs w:val="22"/>
        </w:rPr>
        <w:t>d</w:t>
      </w:r>
      <w:r>
        <w:rPr>
          <w:rFonts w:ascii="Arial" w:eastAsia="Times New Roman" w:hAnsi="Arial" w:cs="Arial"/>
          <w:szCs w:val="22"/>
        </w:rPr>
        <w:t xml:space="preserve"> across </w:t>
      </w:r>
      <w:r>
        <w:rPr>
          <w:rFonts w:ascii="Arial" w:eastAsia="Times New Roman" w:hAnsi="Arial" w:cs="Arial"/>
          <w:szCs w:val="22"/>
        </w:rPr>
        <w:t xml:space="preserve">all </w:t>
      </w:r>
      <w:r>
        <w:rPr>
          <w:rFonts w:ascii="Arial" w:eastAsia="Times New Roman" w:hAnsi="Arial" w:cs="Arial"/>
          <w:szCs w:val="22"/>
        </w:rPr>
        <w:t>devices, regions, and software versions.</w:t>
      </w:r>
    </w:p>
    <w:p w14:paraId="059BF30B" w14:textId="77777777">
      <w:pPr>
        <w:spacing w:line="360" w:lineRule="auto"/>
        <w:textAlignment w:val="baseline"/>
        <w:rPr>
          <w:rFonts w:ascii="Arial" w:eastAsia="Times New Roman" w:hAnsi="Arial" w:cs="Arial"/>
          <w:szCs w:val="22"/>
        </w:rPr>
      </w:pPr>
    </w:p>
    <w:p w14:paraId="7D69D35A" w14:textId="3EBA0BB7">
      <w:pPr>
        <w:spacing w:line="360" w:lineRule="auto"/>
        <w:textAlignment w:val="baseline"/>
        <w:rPr>
          <w:rFonts w:ascii="Arial" w:eastAsia="Times New Roman" w:hAnsi="Arial" w:cs="Arial"/>
          <w:szCs w:val="22"/>
        </w:rPr>
      </w:pPr>
      <w:r>
        <w:rPr>
          <w:rFonts w:ascii="Arial" w:eastAsia="Times New Roman" w:hAnsi="Arial" w:cs="Arial"/>
          <w:szCs w:val="22"/>
        </w:rPr>
        <w:t xml:space="preserve">Additional information about Witbe’s live TV monitoring technology and </w:t>
      </w:r>
      <w:r>
        <w:rPr>
          <w:rFonts w:ascii="Arial" w:eastAsia="Times New Roman" w:hAnsi="Arial" w:cs="Arial"/>
          <w:szCs w:val="22"/>
        </w:rPr>
        <w:t xml:space="preserve">its </w:t>
      </w:r>
      <w:r>
        <w:rPr>
          <w:rFonts w:ascii="Arial" w:eastAsia="Times New Roman" w:hAnsi="Arial" w:cs="Arial"/>
          <w:szCs w:val="22"/>
        </w:rPr>
        <w:t xml:space="preserve">Witbox product line is available at </w:t>
      </w:r>
      <w:hyperlink r:id="rId10" w:history="1">
        <w:r>
          <w:rPr>
            <w:rStyle w:val="Hyperlink"/>
            <w:rFonts w:ascii="Arial" w:eastAsia="Times New Roman" w:hAnsi="Arial" w:cs="Arial"/>
            <w:szCs w:val="22"/>
          </w:rPr>
          <w:t>www.witbe.net</w:t>
        </w:r>
      </w:hyperlink>
      <w:r>
        <w:rPr>
          <w:rFonts w:ascii="Arial" w:eastAsia="Times New Roman" w:hAnsi="Arial" w:cs="Arial"/>
          <w:szCs w:val="22"/>
        </w:rPr>
        <w:t>.</w:t>
      </w:r>
    </w:p>
    <w:p w14:paraId="20E3DE38" w14:textId="77777777">
      <w:pPr>
        <w:spacing w:line="360" w:lineRule="auto"/>
        <w:textAlignment w:val="baseline"/>
        <w:rPr>
          <w:rFonts w:ascii="Arial" w:eastAsia="Times New Roman" w:hAnsi="Arial" w:cs="Arial"/>
          <w:szCs w:val="22"/>
        </w:rPr>
      </w:pPr>
    </w:p>
    <w:p w14:paraId="1906A7F1" w14:textId="77F69FC4">
      <w:pPr>
        <w:spacing w:line="360" w:lineRule="auto"/>
        <w:jc w:val="center"/>
        <w:textAlignment w:val="baseline"/>
        <w:rPr>
          <w:rFonts w:ascii="Arial" w:eastAsia="Arial" w:hAnsi="Arial" w:cs="Arial"/>
          <w:b/>
          <w:bCs/>
          <w:color w:val="000000" w:themeColor="text1"/>
          <w:szCs w:val="22"/>
        </w:rPr>
      </w:pPr>
      <w:r>
        <w:rPr>
          <w:rFonts w:ascii="Arial" w:eastAsia="Times New Roman" w:hAnsi="Arial" w:cs="Arial"/>
          <w:szCs w:val="22"/>
        </w:rPr>
        <w:t>###</w:t>
      </w:r>
    </w:p>
    <w:p w14:paraId="04F8B28F" w14:textId="176A2045">
      <w:pPr>
        <w:spacing w:line="360" w:lineRule="auto"/>
        <w:textAlignment w:val="baseline"/>
        <w:rPr>
          <w:rFonts w:ascii="Arial" w:eastAsia="Times New Roman" w:hAnsi="Arial" w:cs="Arial"/>
          <w:szCs w:val="22"/>
        </w:rPr>
      </w:pPr>
    </w:p>
    <w:p w14:paraId="1F56E621" w14:textId="77777777">
      <w:pPr>
        <w:textAlignment w:val="baseline"/>
        <w:rPr>
          <w:rFonts w:ascii="Arial" w:eastAsia="Times New Roman" w:hAnsi="Arial" w:cs="Arial"/>
          <w:b/>
          <w:bCs/>
          <w:sz w:val="20"/>
          <w:szCs w:val="20"/>
        </w:rPr>
      </w:pPr>
      <w:r>
        <w:rPr>
          <w:rFonts w:ascii="Arial" w:eastAsia="Times New Roman" w:hAnsi="Arial" w:cs="Arial"/>
          <w:b/>
          <w:bCs/>
          <w:sz w:val="20"/>
          <w:szCs w:val="20"/>
        </w:rPr>
        <w:t>About Witbe (</w:t>
      </w:r>
      <w:hyperlink r:id="rId11" w:history="1">
        <w:r>
          <w:rPr>
            <w:rStyle w:val="Hyperlink"/>
            <w:rFonts w:ascii="Arial" w:eastAsia="Times New Roman" w:hAnsi="Arial" w:cs="Arial"/>
            <w:b/>
            <w:bCs/>
            <w:sz w:val="20"/>
            <w:szCs w:val="20"/>
          </w:rPr>
          <w:t>www.witbe.net</w:t>
        </w:r>
      </w:hyperlink>
      <w:r>
        <w:rPr>
          <w:rFonts w:ascii="Arial" w:eastAsia="Times New Roman" w:hAnsi="Arial" w:cs="Arial"/>
          <w:b/>
          <w:bCs/>
          <w:sz w:val="20"/>
          <w:szCs w:val="20"/>
        </w:rPr>
        <w:t>)</w:t>
      </w:r>
    </w:p>
    <w:p w14:paraId="59C62AFD" w14:textId="04036520">
      <w:pPr>
        <w:textAlignment w:val="baseline"/>
        <w:rPr>
          <w:rFonts w:ascii="Arial" w:eastAsia="Times New Roman" w:hAnsi="Arial" w:cs="Arial"/>
          <w:sz w:val="20"/>
          <w:szCs w:val="20"/>
        </w:rPr>
      </w:pPr>
      <w:r>
        <w:rPr>
          <w:rFonts w:ascii="Arial" w:eastAsia="Times New Roman" w:hAnsi="Arial" w:cs="Arial"/>
          <w:sz w:val="20"/>
          <w:szCs w:val="20"/>
        </w:rPr>
        <w:t xml:space="preserve">Witbe (Euronext Growth - FR0013143872 - ALWIT) makes automated testing and proactive monitoring technology for global video service providers. The company’s award-winning technology accurately measures the </w:t>
      </w:r>
      <w:r>
        <w:rPr>
          <w:rFonts w:ascii="Arial" w:eastAsia="Times New Roman" w:hAnsi="Arial" w:cs="Arial"/>
          <w:sz w:val="20"/>
          <w:szCs w:val="20"/>
        </w:rPr>
        <w:t xml:space="preserve">quality </w:t>
      </w:r>
      <w:r>
        <w:rPr>
          <w:rFonts w:ascii="Arial" w:eastAsia="Times New Roman" w:hAnsi="Arial" w:cs="Arial"/>
          <w:sz w:val="20"/>
          <w:szCs w:val="20"/>
        </w:rPr>
        <w:t xml:space="preserve">of </w:t>
      </w:r>
      <w:r>
        <w:rPr>
          <w:rFonts w:ascii="Arial" w:eastAsia="Times New Roman" w:hAnsi="Arial" w:cs="Arial"/>
          <w:sz w:val="20"/>
          <w:szCs w:val="20"/>
        </w:rPr>
        <w:t xml:space="preserve">experience </w:t>
      </w:r>
      <w:r>
        <w:rPr>
          <w:rFonts w:ascii="Arial" w:eastAsia="Times New Roman" w:hAnsi="Arial" w:cs="Arial"/>
          <w:sz w:val="20"/>
          <w:szCs w:val="20"/>
        </w:rPr>
        <w:t>that viewers receive. Witbe’s non</w:t>
      </w:r>
      <w:r>
        <w:rPr>
          <w:rFonts w:ascii="Arial" w:eastAsia="Times New Roman" w:hAnsi="Arial" w:cs="Arial"/>
          <w:sz w:val="20"/>
          <w:szCs w:val="20"/>
        </w:rPr>
        <w:t>-</w:t>
      </w:r>
      <w:r>
        <w:rPr>
          <w:rFonts w:ascii="Arial" w:eastAsia="Times New Roman" w:hAnsi="Arial" w:cs="Arial"/>
          <w:sz w:val="20"/>
          <w:szCs w:val="20"/>
        </w:rPr>
        <w:t>intrusive, plug-and-play technology replicates user behavior to automatically test and monitor video services from anywhere in the world. The Witbe Software Suite allows teams to remotely access their Witbox robot, which can control, test, and monitor any video app running on a real device. The essential data collected by the Witbox can then be analyzed and shared in Witbe’s observability platform.</w:t>
      </w:r>
    </w:p>
    <w:p w14:paraId="226C07D9" w14:textId="77777777">
      <w:pPr>
        <w:textAlignment w:val="baseline"/>
        <w:rPr>
          <w:rFonts w:ascii="Arial" w:eastAsia="Times New Roman" w:hAnsi="Arial" w:cs="Arial"/>
          <w:sz w:val="20"/>
          <w:szCs w:val="20"/>
        </w:rPr>
      </w:pPr>
    </w:p>
    <w:p w14:paraId="0ECB9244" w14:textId="1F8DC468">
      <w:pPr>
        <w:textAlignment w:val="baseline"/>
        <w:rPr>
          <w:rFonts w:ascii="Arial" w:eastAsia="Times New Roman" w:hAnsi="Arial" w:cs="Arial"/>
          <w:sz w:val="20"/>
          <w:szCs w:val="20"/>
        </w:rPr>
      </w:pPr>
      <w:r>
        <w:rPr>
          <w:rFonts w:ascii="Arial" w:eastAsia="Times New Roman" w:hAnsi="Arial" w:cs="Arial"/>
          <w:sz w:val="20"/>
          <w:szCs w:val="20"/>
        </w:rPr>
        <w:t>Witbe’s recent innovations include its streamlined Automated Testing Set, deploying automation and providing QA results faster than ever before; its popular Ad Monitoring and Matching technology to resolve dynamic ad insertion errors; its acclaimed Smart Navigate AI algorithm; and its new Mobile Quality of Experience and Video Traffic Optimization technology. Witbe has a dozen offices around the world and is proud to have customers — including Comcast, Cox, Verizon, Peacock, and Orange</w:t>
      </w:r>
      <w:r>
        <w:rPr>
          <w:rFonts w:ascii="Arial" w:eastAsia="Times New Roman" w:hAnsi="Arial" w:cs="Arial"/>
          <w:sz w:val="20"/>
          <w:szCs w:val="20"/>
        </w:rPr>
        <w:t xml:space="preserve"> </w:t>
      </w:r>
      <w:r>
        <w:rPr>
          <w:rFonts w:ascii="Arial" w:eastAsia="Times New Roman" w:hAnsi="Arial" w:cs="Arial"/>
          <w:sz w:val="20"/>
          <w:szCs w:val="20"/>
        </w:rPr>
        <w:t xml:space="preserve">— in more than 50 countries. More information and further updates are available at </w:t>
      </w:r>
      <w:hyperlink r:id="rId12" w:history="1">
        <w:r>
          <w:rPr>
            <w:rStyle w:val="Hyperlink"/>
            <w:rFonts w:ascii="Arial" w:eastAsia="Times New Roman" w:hAnsi="Arial" w:cs="Arial"/>
            <w:sz w:val="20"/>
            <w:szCs w:val="20"/>
          </w:rPr>
          <w:t>www.witbe.net</w:t>
        </w:r>
      </w:hyperlink>
      <w:r>
        <w:rPr>
          <w:rFonts w:ascii="Arial" w:eastAsia="Times New Roman" w:hAnsi="Arial" w:cs="Arial"/>
          <w:sz w:val="20"/>
          <w:szCs w:val="20"/>
        </w:rPr>
        <w:t>.</w:t>
      </w:r>
    </w:p>
    <w:p w14:paraId="3CE8DBC7" w14:textId="4903F0C9">
      <w:pPr>
        <w:textAlignment w:val="baseline"/>
        <w:rPr>
          <w:rFonts w:ascii="Arial" w:eastAsia="Times New Roman" w:hAnsi="Arial" w:cs="Arial"/>
          <w:b/>
          <w:bCs/>
          <w:sz w:val="20"/>
          <w:szCs w:val="20"/>
        </w:rPr>
      </w:pPr>
    </w:p>
    <w:p w14:paraId="57F467D2" w14:textId="5F829F31">
      <w:pPr>
        <w:textAlignment w:val="baseline"/>
        <w:rPr>
          <w:rFonts w:ascii="Arial" w:eastAsia="Times New Roman" w:hAnsi="Arial" w:cs="Arial"/>
          <w:b/>
          <w:bCs/>
          <w:sz w:val="20"/>
          <w:szCs w:val="20"/>
        </w:rPr>
      </w:pPr>
      <w:r>
        <w:rPr>
          <w:rFonts w:ascii="Arial" w:eastAsia="Times New Roman" w:hAnsi="Arial" w:cs="Arial"/>
          <w:b/>
          <w:bCs/>
          <w:sz w:val="20"/>
          <w:szCs w:val="20"/>
        </w:rPr>
        <w:t xml:space="preserve">About </w:t>
      </w:r>
      <w:r>
        <w:rPr>
          <w:rFonts w:ascii="Arial" w:eastAsia="Times New Roman" w:hAnsi="Arial" w:cs="Arial"/>
          <w:b/>
          <w:bCs/>
          <w:sz w:val="20"/>
          <w:szCs w:val="20"/>
        </w:rPr>
        <w:t>M</w:t>
      </w:r>
      <w:r>
        <w:rPr>
          <w:rFonts w:ascii="Arial" w:eastAsia="Times New Roman" w:hAnsi="Arial" w:cs="Arial"/>
          <w:b/>
          <w:bCs/>
          <w:sz w:val="20"/>
          <w:szCs w:val="20"/>
        </w:rPr>
        <w:t xml:space="preserve">itchell </w:t>
      </w:r>
      <w:r>
        <w:rPr>
          <w:rFonts w:ascii="Arial" w:eastAsia="Times New Roman" w:hAnsi="Arial" w:cs="Arial"/>
          <w:b/>
          <w:bCs/>
          <w:sz w:val="20"/>
          <w:szCs w:val="20"/>
        </w:rPr>
        <w:t>S</w:t>
      </w:r>
      <w:r>
        <w:rPr>
          <w:rFonts w:ascii="Arial" w:eastAsia="Times New Roman" w:hAnsi="Arial" w:cs="Arial"/>
          <w:b/>
          <w:bCs/>
          <w:sz w:val="20"/>
          <w:szCs w:val="20"/>
        </w:rPr>
        <w:t xml:space="preserve">eaforth </w:t>
      </w:r>
      <w:r>
        <w:rPr>
          <w:rFonts w:ascii="Arial" w:eastAsia="Times New Roman" w:hAnsi="Arial" w:cs="Arial"/>
          <w:b/>
          <w:bCs/>
          <w:sz w:val="20"/>
          <w:szCs w:val="20"/>
        </w:rPr>
        <w:t>C</w:t>
      </w:r>
      <w:r>
        <w:rPr>
          <w:rFonts w:ascii="Arial" w:eastAsia="Times New Roman" w:hAnsi="Arial" w:cs="Arial"/>
          <w:b/>
          <w:bCs/>
          <w:sz w:val="20"/>
          <w:szCs w:val="20"/>
        </w:rPr>
        <w:t xml:space="preserve">able </w:t>
      </w:r>
      <w:r>
        <w:rPr>
          <w:rFonts w:ascii="Arial" w:eastAsia="Times New Roman" w:hAnsi="Arial" w:cs="Arial"/>
          <w:b/>
          <w:bCs/>
          <w:sz w:val="20"/>
          <w:szCs w:val="20"/>
        </w:rPr>
        <w:t>TV</w:t>
      </w:r>
      <w:r>
        <w:rPr>
          <w:rFonts w:ascii="Arial" w:eastAsia="Times New Roman" w:hAnsi="Arial" w:cs="Arial"/>
          <w:b/>
          <w:bCs/>
          <w:sz w:val="20"/>
          <w:szCs w:val="20"/>
        </w:rPr>
        <w:t xml:space="preserve"> (</w:t>
      </w:r>
      <w:hyperlink r:id="rId13" w:history="1">
        <w:r>
          <w:rPr>
            <w:rStyle w:val="Hyperlink"/>
            <w:rFonts w:ascii="Arial" w:eastAsia="Times New Roman" w:hAnsi="Arial" w:cs="Arial"/>
            <w:b/>
            <w:bCs/>
            <w:sz w:val="20"/>
            <w:szCs w:val="20"/>
          </w:rPr>
          <w:t>www.msctv.ca</w:t>
        </w:r>
      </w:hyperlink>
      <w:r>
        <w:rPr>
          <w:rFonts w:ascii="Arial" w:eastAsia="Times New Roman" w:hAnsi="Arial" w:cs="Arial"/>
          <w:b/>
          <w:bCs/>
          <w:sz w:val="20"/>
          <w:szCs w:val="20"/>
        </w:rPr>
        <w:t>)</w:t>
      </w:r>
    </w:p>
    <w:p w14:paraId="0BA1E691" w14:textId="718A21B6">
      <w:pPr>
        <w:rPr>
          <w:rFonts w:ascii="Arial" w:hAnsi="Arial" w:cs="Arial"/>
          <w:sz w:val="20"/>
          <w:szCs w:val="20"/>
        </w:rPr>
      </w:pPr>
      <w:r>
        <w:rPr>
          <w:rFonts w:ascii="Arial" w:hAnsi="Arial" w:cs="Arial"/>
          <w:sz w:val="20"/>
          <w:szCs w:val="20"/>
        </w:rPr>
        <w:t xml:space="preserve">MSCTV is a leader in providing unique solutions to telecommunications companies, from ABR encoding to TiVo </w:t>
      </w:r>
      <w:r>
        <w:rPr>
          <w:rFonts w:ascii="Arial" w:hAnsi="Arial" w:cs="Arial"/>
          <w:sz w:val="20"/>
          <w:szCs w:val="20"/>
        </w:rPr>
        <w:t>w</w:t>
      </w:r>
      <w:r>
        <w:rPr>
          <w:rFonts w:ascii="Arial" w:hAnsi="Arial" w:cs="Arial"/>
          <w:sz w:val="20"/>
          <w:szCs w:val="20"/>
        </w:rPr>
        <w:t>hite labeled applications for linear TV</w:t>
      </w:r>
      <w:r>
        <w:rPr>
          <w:rFonts w:ascii="Arial" w:hAnsi="Arial" w:cs="Arial"/>
          <w:sz w:val="20"/>
          <w:szCs w:val="20"/>
        </w:rPr>
        <w:t>, as well as</w:t>
      </w:r>
      <w:r>
        <w:rPr>
          <w:rFonts w:ascii="Arial" w:hAnsi="Arial" w:cs="Arial"/>
          <w:sz w:val="20"/>
          <w:szCs w:val="20"/>
        </w:rPr>
        <w:t xml:space="preserve"> IP transport</w:t>
      </w:r>
      <w:r>
        <w:rPr>
          <w:rFonts w:ascii="Arial" w:hAnsi="Arial" w:cs="Arial"/>
          <w:sz w:val="20"/>
          <w:szCs w:val="20"/>
        </w:rPr>
        <w:t xml:space="preserve"> and network redundancy</w:t>
      </w:r>
      <w:r>
        <w:rPr>
          <w:rFonts w:ascii="Arial" w:hAnsi="Arial" w:cs="Arial"/>
          <w:sz w:val="20"/>
          <w:szCs w:val="20"/>
        </w:rPr>
        <w:t xml:space="preserve">. Mitchell Seaforth Cable TV has been in the video business for over </w:t>
      </w:r>
      <w:r>
        <w:rPr>
          <w:rFonts w:ascii="Arial" w:hAnsi="Arial" w:cs="Arial"/>
          <w:sz w:val="20"/>
          <w:szCs w:val="20"/>
        </w:rPr>
        <w:t xml:space="preserve">50 </w:t>
      </w:r>
      <w:r>
        <w:rPr>
          <w:rFonts w:ascii="Arial" w:hAnsi="Arial" w:cs="Arial"/>
          <w:sz w:val="20"/>
          <w:szCs w:val="20"/>
        </w:rPr>
        <w:t>years, from the analog days of providing TV through digital IPTV to current live streaming linear TV applications.</w:t>
      </w:r>
      <w:r>
        <w:rPr>
          <w:rFonts w:ascii="Arial" w:hAnsi="Arial" w:cs="Arial"/>
          <w:sz w:val="20"/>
          <w:szCs w:val="20"/>
        </w:rPr>
        <w:t xml:space="preserve"> They offer a robust network that receives videos from </w:t>
      </w:r>
      <w:r>
        <w:rPr>
          <w:rFonts w:ascii="Arial" w:hAnsi="Arial" w:cs="Arial"/>
          <w:sz w:val="20"/>
          <w:szCs w:val="20"/>
        </w:rPr>
        <w:t>several</w:t>
      </w:r>
      <w:r>
        <w:rPr>
          <w:rFonts w:ascii="Arial" w:hAnsi="Arial" w:cs="Arial"/>
          <w:sz w:val="20"/>
          <w:szCs w:val="20"/>
        </w:rPr>
        <w:t xml:space="preserve"> locations to minimize streaming issues. MSCTV’s headend consists of </w:t>
      </w:r>
      <w:r>
        <w:rPr>
          <w:rFonts w:ascii="Arial" w:hAnsi="Arial" w:cs="Arial"/>
          <w:sz w:val="20"/>
          <w:szCs w:val="20"/>
        </w:rPr>
        <w:t>multiple</w:t>
      </w:r>
      <w:r>
        <w:rPr>
          <w:rFonts w:ascii="Arial" w:hAnsi="Arial" w:cs="Arial"/>
          <w:sz w:val="20"/>
          <w:szCs w:val="20"/>
        </w:rPr>
        <w:t xml:space="preserve"> points of redundancy, including two back-up generators, inverters, N+1 encoding, and their signature 100g MPLS network. For more information, contact </w:t>
      </w:r>
      <w:hyperlink r:id="rId14" w:history="1">
        <w:r>
          <w:rPr>
            <w:rStyle w:val="Hyperlink"/>
            <w:rFonts w:ascii="Arial" w:hAnsi="Arial" w:cs="Arial"/>
            <w:sz w:val="20"/>
            <w:szCs w:val="20"/>
          </w:rPr>
          <w:t>info@msctv.ca</w:t>
        </w:r>
      </w:hyperlink>
      <w:r>
        <w:rPr>
          <w:rFonts w:ascii="Arial" w:hAnsi="Arial" w:cs="Arial"/>
          <w:sz w:val="20"/>
          <w:szCs w:val="20"/>
        </w:rPr>
        <w:t>.</w:t>
      </w:r>
    </w:p>
    <w:p w14:paraId="45962A4E" w14:textId="77777777">
      <w:pPr>
        <w:textAlignment w:val="baseline"/>
        <w:rPr>
          <w:rFonts w:ascii="Arial" w:eastAsia="Times New Roman" w:hAnsi="Arial" w:cs="Arial"/>
          <w:i/>
          <w:iCs/>
          <w:sz w:val="20"/>
          <w:szCs w:val="20"/>
        </w:rPr>
      </w:pPr>
    </w:p>
    <w:p w14:paraId="0EDAA8F6" w14:textId="7DDF65BA">
      <w:pPr>
        <w:rPr>
          <w:rStyle w:val="Hyperlink"/>
          <w:rFonts w:ascii="Arial" w:eastAsia="Arial" w:hAnsi="Arial" w:cs="Arial"/>
          <w:sz w:val="20"/>
          <w:szCs w:val="20"/>
        </w:rPr>
      </w:pPr>
      <w:r>
        <w:rPr>
          <w:rFonts w:ascii="Arial" w:eastAsia="Arial" w:hAnsi="Arial" w:cs="Arial"/>
          <w:b/>
          <w:bCs/>
          <w:color w:val="000000" w:themeColor="text1"/>
          <w:sz w:val="20"/>
          <w:szCs w:val="20"/>
        </w:rPr>
        <w:t xml:space="preserve">Link to Word Doc: </w:t>
      </w:r>
      <w:hyperlink r:id="rId15" w:history="1">
        <w:r>
          <w:rPr>
            <w:rStyle w:val="Hyperlink"/>
            <w:rFonts w:ascii="Arial" w:hAnsi="Arial" w:cs="Arial"/>
            <w:sz w:val="20"/>
            <w:szCs w:val="20"/>
          </w:rPr>
          <w:t>www.202comms.com/Witbe/241022-Witbe-MSCTV.docx</w:t>
        </w:r>
      </w:hyperlink>
      <w:r>
        <w:rPr>
          <w:rFonts w:ascii="Arial" w:hAnsi="Arial" w:cs="Arial"/>
          <w:sz w:val="20"/>
          <w:szCs w:val="20"/>
        </w:rPr>
        <w:t xml:space="preserve"> </w:t>
      </w:r>
    </w:p>
    <w:p w14:paraId="1EEEE781" w14:textId="77777777">
      <w:pPr>
        <w:textAlignment w:val="baseline"/>
        <w:rPr>
          <w:rFonts w:ascii="Arial" w:hAnsi="Arial" w:cs="Arial"/>
          <w:b/>
          <w:bCs/>
          <w:sz w:val="20"/>
          <w:szCs w:val="20"/>
        </w:rPr>
      </w:pPr>
    </w:p>
    <w:p w14:paraId="7744AF99" w14:textId="075BE767">
      <w:pPr>
        <w:textAlignment w:val="baseline"/>
        <w:rPr>
          <w:rFonts w:ascii="Arial" w:hAnsi="Arial" w:cs="Arial"/>
          <w:b/>
          <w:bCs/>
          <w:sz w:val="20"/>
          <w:szCs w:val="20"/>
        </w:rPr>
      </w:pPr>
      <w:r>
        <w:rPr>
          <w:rFonts w:ascii="Arial" w:hAnsi="Arial" w:cs="Arial"/>
          <w:b/>
          <w:bCs/>
          <w:sz w:val="20"/>
          <w:szCs w:val="20"/>
        </w:rPr>
        <w:t>Link to Photo:</w:t>
      </w:r>
      <w:r>
        <w:rPr>
          <w:rFonts w:ascii="Arial" w:hAnsi="Arial" w:cs="Arial"/>
          <w:b/>
          <w:bCs/>
          <w:sz w:val="20"/>
          <w:szCs w:val="20"/>
        </w:rPr>
        <w:t xml:space="preserve"> </w:t>
      </w:r>
      <w:hyperlink r:id="rId16" w:history="1">
        <w:r>
          <w:rPr>
            <w:rStyle w:val="Hyperlink"/>
            <w:rFonts w:ascii="Arial" w:hAnsi="Arial" w:cs="Arial"/>
            <w:sz w:val="20"/>
            <w:szCs w:val="20"/>
          </w:rPr>
          <w:t>www.20</w:t>
        </w:r>
        <w:r>
          <w:rPr>
            <w:rStyle w:val="Hyperlink"/>
            <w:rFonts w:ascii="Arial" w:hAnsi="Arial" w:cs="Arial"/>
            <w:sz w:val="20"/>
            <w:szCs w:val="20"/>
          </w:rPr>
          <w:t>2</w:t>
        </w:r>
        <w:r>
          <w:rPr>
            <w:rStyle w:val="Hyperlink"/>
            <w:rFonts w:ascii="Arial" w:hAnsi="Arial" w:cs="Arial"/>
            <w:sz w:val="20"/>
            <w:szCs w:val="20"/>
          </w:rPr>
          <w:t>comms.com/Witbe/</w:t>
        </w:r>
        <w:r>
          <w:rPr>
            <w:rStyle w:val="Hyperlink"/>
            <w:rFonts w:ascii="Arial" w:hAnsi="Arial" w:cs="Arial"/>
            <w:sz w:val="20"/>
            <w:szCs w:val="20"/>
          </w:rPr>
          <w:t>W</w:t>
        </w:r>
        <w:r>
          <w:rPr>
            <w:rStyle w:val="Hyperlink"/>
            <w:rFonts w:ascii="Arial" w:hAnsi="Arial" w:cs="Arial"/>
            <w:sz w:val="20"/>
            <w:szCs w:val="20"/>
          </w:rPr>
          <w:t>itboxMSCTV.png</w:t>
        </w:r>
      </w:hyperlink>
      <w:r>
        <w:rPr>
          <w:rFonts w:ascii="Arial" w:hAnsi="Arial" w:cs="Arial"/>
          <w:sz w:val="20"/>
          <w:szCs w:val="20"/>
        </w:rPr>
        <w:t xml:space="preserve"> </w:t>
      </w:r>
    </w:p>
    <w:p w14:paraId="02B0C555" w14:textId="519F94A3">
      <w:pPr>
        <w:textAlignment w:val="baseline"/>
        <w:rPr>
          <w:rFonts w:ascii="Arial" w:hAnsi="Arial" w:cs="Arial"/>
          <w:sz w:val="20"/>
          <w:szCs w:val="20"/>
        </w:rPr>
      </w:pPr>
      <w:r>
        <w:rPr>
          <w:rFonts w:ascii="Arial" w:hAnsi="Arial" w:cs="Arial"/>
          <w:b/>
          <w:bCs/>
          <w:sz w:val="20"/>
          <w:szCs w:val="20"/>
        </w:rPr>
        <w:t xml:space="preserve">Photo </w:t>
      </w:r>
      <w:r>
        <w:rPr>
          <w:rFonts w:ascii="Arial" w:hAnsi="Arial" w:cs="Arial"/>
          <w:b/>
          <w:bCs/>
          <w:sz w:val="20"/>
          <w:szCs w:val="20"/>
        </w:rPr>
        <w:t>Caption</w:t>
      </w:r>
      <w:r>
        <w:rPr>
          <w:rFonts w:ascii="Arial" w:hAnsi="Arial" w:cs="Arial"/>
          <w:b/>
          <w:bCs/>
          <w:sz w:val="20"/>
          <w:szCs w:val="20"/>
        </w:rPr>
        <w:t>:</w:t>
      </w:r>
      <w:r>
        <w:rPr>
          <w:rFonts w:ascii="Arial" w:hAnsi="Arial" w:cs="Arial"/>
          <w:b/>
          <w:bCs/>
          <w:sz w:val="20"/>
          <w:szCs w:val="20"/>
        </w:rPr>
        <w:t xml:space="preserve"> </w:t>
      </w:r>
      <w:r>
        <w:rPr>
          <w:rFonts w:ascii="Arial" w:hAnsi="Arial" w:cs="Arial"/>
          <w:sz w:val="20"/>
          <w:szCs w:val="20"/>
        </w:rPr>
        <w:t>MSCTV is utilizing Witbe’s virtual NOC technology for live TV monitoring</w:t>
      </w:r>
      <w:r>
        <w:rPr>
          <w:rFonts w:ascii="Arial" w:hAnsi="Arial" w:cs="Arial"/>
          <w:sz w:val="20"/>
          <w:szCs w:val="20"/>
        </w:rPr>
        <w:t>.</w:t>
      </w:r>
    </w:p>
    <w:p w14:paraId="00FB153D" w14:textId="77777777">
      <w:pPr>
        <w:textAlignment w:val="baseline"/>
        <w:rPr>
          <w:rFonts w:ascii="Arial" w:hAnsi="Arial" w:cs="Arial"/>
          <w:b/>
          <w:bCs/>
          <w:sz w:val="20"/>
          <w:szCs w:val="20"/>
        </w:rPr>
      </w:pPr>
    </w:p>
    <w:tbl>
      <w:tblPr>
        <w:tblW w:w="10546" w:type="dxa"/>
        <w:tblInd w:w="-90" w:type="dxa"/>
        <w:tblCellMar>
          <w:left w:w="0" w:type="dxa"/>
          <w:right w:w="0" w:type="dxa"/>
        </w:tblCellMar>
        <w:tblLook w:val="04A0" w:firstRow="1" w:lastRow="0" w:firstColumn="1" w:lastColumn="0" w:noHBand="0" w:noVBand="1"/>
      </w:tblPr>
      <w:tblGrid>
        <w:gridCol w:w="3095"/>
        <w:gridCol w:w="3990"/>
        <w:gridCol w:w="3461"/>
      </w:tblGrid>
      <w:tr w14:paraId="0DFD0E1A" w14:textId="77777777">
        <w:trPr>
          <w:trHeight w:val="1162"/>
        </w:trPr>
        <w:tc>
          <w:tcPr>
            <w:tcW w:w="3095" w:type="dxa"/>
            <w:tcMar>
              <w:top w:w="5" w:type="dxa"/>
              <w:left w:w="113" w:type="dxa"/>
              <w:bottom w:w="5" w:type="dxa"/>
              <w:right w:w="113" w:type="dxa"/>
            </w:tcMar>
            <w:hideMark/>
          </w:tcPr>
          <w:p w14:paraId="7865F2C8" w14:textId="77777777">
            <w:pPr>
              <w:rPr>
                <w:rFonts w:ascii="Arial" w:hAnsi="Arial" w:cs="Arial"/>
                <w:color w:val="000000"/>
                <w:sz w:val="20"/>
                <w:szCs w:val="20"/>
              </w:rPr>
            </w:pPr>
            <w:r>
              <w:rPr>
                <w:rFonts w:ascii="Arial" w:eastAsia="Arial" w:hAnsi="Arial" w:cs="Arial"/>
                <w:b/>
                <w:bCs/>
                <w:color w:val="000000"/>
                <w:sz w:val="20"/>
                <w:szCs w:val="20"/>
              </w:rPr>
              <w:t xml:space="preserve">Agency Contact: </w:t>
            </w:r>
          </w:p>
          <w:p w14:paraId="32E97108" w14:textId="77777777">
            <w:pPr>
              <w:rPr>
                <w:rFonts w:ascii="Arial" w:eastAsia="Arial" w:hAnsi="Arial" w:cs="Arial"/>
                <w:color w:val="000000"/>
                <w:sz w:val="20"/>
                <w:szCs w:val="20"/>
              </w:rPr>
            </w:pPr>
            <w:r>
              <w:rPr>
                <w:rFonts w:ascii="Arial" w:eastAsia="Arial" w:hAnsi="Arial" w:cs="Arial"/>
                <w:color w:val="000000"/>
                <w:sz w:val="20"/>
                <w:szCs w:val="20"/>
              </w:rPr>
              <w:t>Moe Lokat</w:t>
            </w:r>
          </w:p>
          <w:p w14:paraId="31A5A265" w14:textId="5C974972">
            <w:pPr>
              <w:rPr>
                <w:rFonts w:ascii="Arial" w:hAnsi="Arial" w:cs="Arial"/>
                <w:color w:val="000000"/>
                <w:sz w:val="20"/>
                <w:szCs w:val="20"/>
              </w:rPr>
            </w:pPr>
            <w:r>
              <w:rPr>
                <w:rFonts w:ascii="Arial" w:eastAsia="Arial" w:hAnsi="Arial" w:cs="Arial"/>
                <w:color w:val="000000"/>
                <w:sz w:val="20"/>
                <w:szCs w:val="20"/>
              </w:rPr>
              <w:t>202 Communications</w:t>
            </w:r>
          </w:p>
          <w:p w14:paraId="045458A1" w14:textId="77777777">
            <w:pPr>
              <w:rPr>
                <w:rFonts w:ascii="Arial" w:eastAsia="Arial" w:hAnsi="Arial" w:cs="Arial"/>
                <w:color w:val="000000"/>
                <w:sz w:val="20"/>
                <w:szCs w:val="20"/>
              </w:rPr>
            </w:pPr>
            <w:r>
              <w:rPr>
                <w:rFonts w:ascii="Arial" w:eastAsia="Arial" w:hAnsi="Arial" w:cs="Arial"/>
                <w:color w:val="000000"/>
                <w:sz w:val="20"/>
                <w:szCs w:val="20"/>
              </w:rPr>
              <w:t>Tel: +44 (0) 7973 306039</w:t>
            </w:r>
          </w:p>
          <w:p w14:paraId="3C45FD7E" w14:textId="470DD07E">
            <w:pPr>
              <w:rPr>
                <w:rFonts w:ascii="Arial" w:hAnsi="Arial" w:cs="Arial"/>
                <w:color w:val="000000"/>
                <w:sz w:val="20"/>
                <w:szCs w:val="20"/>
              </w:rPr>
            </w:pPr>
            <w:r>
              <w:rPr>
                <w:rFonts w:ascii="Arial" w:eastAsia="Arial" w:hAnsi="Arial" w:cs="Arial"/>
                <w:color w:val="000000"/>
                <w:sz w:val="20"/>
                <w:szCs w:val="20"/>
              </w:rPr>
              <w:t xml:space="preserve">Email: </w:t>
            </w:r>
            <w:hyperlink r:id="rId17" w:history="1">
              <w:r>
                <w:rPr>
                  <w:rStyle w:val="Hyperlink"/>
                  <w:rFonts w:ascii="Arial" w:eastAsia="Arial" w:hAnsi="Arial" w:cs="Arial"/>
                  <w:sz w:val="20"/>
                  <w:szCs w:val="20"/>
                </w:rPr>
                <w:t>moe@202comms.com</w:t>
              </w:r>
            </w:hyperlink>
            <w:r>
              <w:rPr>
                <w:rFonts w:ascii="Arial" w:eastAsia="Arial" w:hAnsi="Arial" w:cs="Arial"/>
                <w:color w:val="000000"/>
                <w:sz w:val="20"/>
                <w:szCs w:val="20"/>
              </w:rPr>
              <w:t xml:space="preserve"> </w:t>
            </w:r>
          </w:p>
        </w:tc>
        <w:tc>
          <w:tcPr>
            <w:tcW w:w="3990" w:type="dxa"/>
            <w:tcMar>
              <w:top w:w="5" w:type="dxa"/>
              <w:left w:w="113" w:type="dxa"/>
              <w:bottom w:w="5" w:type="dxa"/>
              <w:right w:w="113" w:type="dxa"/>
            </w:tcMar>
            <w:hideMark/>
          </w:tcPr>
          <w:p w14:paraId="641AB026" w14:textId="77777777">
            <w:pPr>
              <w:rPr>
                <w:rFonts w:ascii="Arial" w:hAnsi="Arial" w:cs="Arial"/>
                <w:color w:val="000000"/>
                <w:sz w:val="20"/>
                <w:szCs w:val="20"/>
              </w:rPr>
            </w:pPr>
            <w:r>
              <w:rPr>
                <w:rFonts w:ascii="Arial" w:eastAsia="Arial" w:hAnsi="Arial" w:cs="Arial"/>
                <w:b/>
                <w:bCs/>
                <w:color w:val="000000"/>
                <w:sz w:val="20"/>
                <w:szCs w:val="20"/>
              </w:rPr>
              <w:t>Company Contact:</w:t>
            </w:r>
          </w:p>
          <w:p w14:paraId="44E4C9C1" w14:textId="7FB83964">
            <w:pPr>
              <w:rPr>
                <w:rFonts w:ascii="Arial" w:hAnsi="Arial" w:cs="Arial"/>
                <w:sz w:val="20"/>
                <w:szCs w:val="20"/>
              </w:rPr>
            </w:pPr>
            <w:r>
              <w:rPr>
                <w:rFonts w:ascii="Arial" w:hAnsi="Arial" w:cs="Arial"/>
                <w:sz w:val="20"/>
                <w:szCs w:val="20"/>
              </w:rPr>
              <w:t>Noemie Galabru</w:t>
            </w:r>
            <w:r>
              <w:rPr>
                <w:rFonts w:ascii="Arial" w:hAnsi="Arial" w:cs="Arial"/>
                <w:sz w:val="20"/>
                <w:szCs w:val="20"/>
              </w:rPr>
              <w:br/>
            </w:r>
            <w:r>
              <w:rPr>
                <w:rFonts w:ascii="Arial" w:hAnsi="Arial" w:cs="Arial"/>
                <w:sz w:val="20"/>
                <w:szCs w:val="20"/>
              </w:rPr>
              <w:t>Chief Marketing Officer</w:t>
            </w:r>
          </w:p>
          <w:p w14:paraId="181CB800" w14:textId="22C4B495">
            <w:pPr>
              <w:rPr>
                <w:rFonts w:ascii="Arial" w:hAnsi="Arial" w:cs="Arial"/>
                <w:sz w:val="20"/>
                <w:szCs w:val="20"/>
              </w:rPr>
            </w:pPr>
            <w:r>
              <w:rPr>
                <w:rFonts w:ascii="Arial" w:hAnsi="Arial" w:cs="Arial"/>
                <w:sz w:val="20"/>
                <w:szCs w:val="20"/>
              </w:rPr>
              <w:t>Tel: +1 934</w:t>
            </w:r>
            <w:r>
              <w:rPr>
                <w:rFonts w:ascii="Arial" w:hAnsi="Arial" w:cs="Arial"/>
                <w:sz w:val="20"/>
                <w:szCs w:val="20"/>
              </w:rPr>
              <w:t xml:space="preserve"> </w:t>
            </w:r>
            <w:r>
              <w:rPr>
                <w:rFonts w:ascii="Arial" w:hAnsi="Arial" w:cs="Arial"/>
                <w:sz w:val="20"/>
                <w:szCs w:val="20"/>
              </w:rPr>
              <w:t>799</w:t>
            </w:r>
            <w:r>
              <w:rPr>
                <w:rFonts w:ascii="Arial" w:hAnsi="Arial" w:cs="Arial"/>
                <w:sz w:val="20"/>
                <w:szCs w:val="20"/>
              </w:rPr>
              <w:t xml:space="preserve"> </w:t>
            </w:r>
            <w:r>
              <w:rPr>
                <w:rFonts w:ascii="Arial" w:hAnsi="Arial" w:cs="Arial"/>
                <w:sz w:val="20"/>
                <w:szCs w:val="20"/>
              </w:rPr>
              <w:t>0121</w:t>
            </w:r>
          </w:p>
          <w:p w14:paraId="20CB8509" w14:textId="77777777">
            <w:pPr>
              <w:rPr>
                <w:rFonts w:ascii="Arial" w:hAnsi="Arial" w:cs="Arial"/>
                <w:sz w:val="20"/>
                <w:szCs w:val="20"/>
              </w:rPr>
            </w:pPr>
            <w:r>
              <w:rPr>
                <w:rFonts w:ascii="Arial" w:hAnsi="Arial" w:cs="Arial"/>
                <w:sz w:val="20"/>
                <w:szCs w:val="20"/>
              </w:rPr>
              <w:t xml:space="preserve">Email: </w:t>
            </w:r>
            <w:hyperlink r:id="rId18" w:history="1">
              <w:r>
                <w:rPr>
                  <w:rStyle w:val="Hyperlink"/>
                  <w:rFonts w:ascii="Arial" w:hAnsi="Arial" w:cs="Arial"/>
                  <w:sz w:val="20"/>
                  <w:szCs w:val="20"/>
                </w:rPr>
                <w:t>noemie.galabru@witbe.net</w:t>
              </w:r>
            </w:hyperlink>
          </w:p>
          <w:p w14:paraId="29344C92" w14:textId="68D81685">
            <w:pPr>
              <w:rPr>
                <w:rFonts w:ascii="Arial" w:hAnsi="Arial" w:cs="Arial"/>
                <w:color w:val="000000"/>
                <w:sz w:val="20"/>
                <w:szCs w:val="20"/>
              </w:rPr>
            </w:pPr>
          </w:p>
        </w:tc>
        <w:tc>
          <w:tcPr>
            <w:tcW w:w="3461" w:type="dxa"/>
            <w:tcMar>
              <w:top w:w="5" w:type="dxa"/>
              <w:left w:w="113" w:type="dxa"/>
              <w:bottom w:w="5" w:type="dxa"/>
              <w:right w:w="113" w:type="dxa"/>
            </w:tcMar>
            <w:hideMark/>
          </w:tcPr>
          <w:p w14:paraId="566A4FD5" w14:textId="77777777">
            <w:pPr>
              <w:rPr>
                <w:rFonts w:ascii="Arial" w:hAnsi="Arial" w:cs="Arial"/>
                <w:b/>
                <w:bCs/>
                <w:color w:val="000000"/>
                <w:sz w:val="20"/>
                <w:szCs w:val="20"/>
              </w:rPr>
            </w:pPr>
            <w:r>
              <w:rPr>
                <w:rFonts w:ascii="Arial" w:hAnsi="Arial" w:cs="Arial"/>
                <w:b/>
                <w:bCs/>
                <w:color w:val="000000"/>
                <w:sz w:val="20"/>
                <w:szCs w:val="20"/>
              </w:rPr>
              <w:t>Witbe</w:t>
            </w:r>
          </w:p>
          <w:p w14:paraId="47859391" w14:textId="77777777">
            <w:pPr>
              <w:rPr>
                <w:rFonts w:ascii="Arial" w:hAnsi="Arial" w:cs="Arial"/>
                <w:color w:val="000000"/>
                <w:sz w:val="20"/>
                <w:szCs w:val="20"/>
              </w:rPr>
            </w:pPr>
            <w:r>
              <w:rPr>
                <w:rFonts w:ascii="Arial" w:hAnsi="Arial" w:cs="Arial"/>
                <w:color w:val="000000"/>
                <w:sz w:val="20"/>
                <w:szCs w:val="20"/>
              </w:rPr>
              <w:t>350 7th Avenue</w:t>
            </w:r>
          </w:p>
          <w:p w14:paraId="6A7AFECF" w14:textId="38107C21">
            <w:pPr>
              <w:rPr>
                <w:rFonts w:ascii="Arial" w:hAnsi="Arial" w:cs="Arial"/>
                <w:color w:val="000000"/>
                <w:sz w:val="20"/>
                <w:szCs w:val="20"/>
              </w:rPr>
            </w:pPr>
            <w:r>
              <w:rPr>
                <w:rFonts w:ascii="Arial" w:hAnsi="Arial" w:cs="Arial"/>
                <w:color w:val="000000"/>
                <w:sz w:val="20"/>
                <w:szCs w:val="20"/>
              </w:rPr>
              <w:t xml:space="preserve">Suite </w:t>
            </w:r>
            <w:r>
              <w:rPr>
                <w:rFonts w:ascii="Arial" w:hAnsi="Arial" w:cs="Arial"/>
                <w:color w:val="000000"/>
                <w:sz w:val="20"/>
                <w:szCs w:val="20"/>
              </w:rPr>
              <w:t>1500</w:t>
            </w:r>
          </w:p>
          <w:p w14:paraId="0B8E42F0" w14:textId="77777777">
            <w:pPr>
              <w:rPr>
                <w:rFonts w:ascii="Arial" w:hAnsi="Arial" w:cs="Arial"/>
                <w:color w:val="000000"/>
                <w:sz w:val="20"/>
                <w:szCs w:val="20"/>
              </w:rPr>
            </w:pPr>
            <w:r>
              <w:rPr>
                <w:rFonts w:ascii="Arial" w:hAnsi="Arial" w:cs="Arial"/>
                <w:color w:val="000000"/>
                <w:sz w:val="20"/>
                <w:szCs w:val="20"/>
              </w:rPr>
              <w:t>New York, NY 10001</w:t>
            </w:r>
          </w:p>
          <w:p w14:paraId="6BAAAEB4" w14:textId="77777777">
            <w:pPr>
              <w:rPr>
                <w:rFonts w:ascii="Arial" w:hAnsi="Arial" w:cs="Arial"/>
                <w:color w:val="000000"/>
                <w:sz w:val="20"/>
                <w:szCs w:val="20"/>
              </w:rPr>
            </w:pPr>
            <w:hyperlink r:id="rId19" w:history="1">
              <w:r>
                <w:rPr>
                  <w:rStyle w:val="Hyperlink"/>
                  <w:rFonts w:ascii="Arial" w:eastAsia="Times New Roman" w:hAnsi="Arial" w:cs="Arial"/>
                  <w:sz w:val="20"/>
                  <w:szCs w:val="20"/>
                </w:rPr>
                <w:t>www.witbe.net</w:t>
              </w:r>
            </w:hyperlink>
          </w:p>
        </w:tc>
      </w:tr>
    </w:tbl>
    <w:p w14:paraId="1A2C8724" w14:textId="77777777">
      <w:pPr>
        <w:textAlignment w:val="baseline"/>
        <w:rPr>
          <w:rFonts w:ascii="Arial" w:eastAsia="Times New Roman" w:hAnsi="Arial" w:cs="Arial"/>
          <w:sz w:val="21"/>
          <w:szCs w:val="21"/>
        </w:rPr>
      </w:pPr>
    </w:p>
    <w:sectPr>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24621" w14:textId="77777777" w:rsidR="007255AB" w:rsidRDefault="007255AB" w:rsidP="00552E17">
      <w:r>
        <w:separator/>
      </w:r>
    </w:p>
  </w:endnote>
  <w:endnote w:type="continuationSeparator" w:id="0">
    <w:p w14:paraId="11CB4888" w14:textId="77777777" w:rsidR="007255AB" w:rsidRDefault="007255AB" w:rsidP="00552E17">
      <w:r>
        <w:continuationSeparator/>
      </w:r>
    </w:p>
  </w:endnote>
  <w:endnote w:type="continuationNotice" w:id="1">
    <w:p w14:paraId="239B1F87" w14:textId="77777777" w:rsidR="007255AB" w:rsidRDefault="00725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4D"/>
    <w:family w:val="auto"/>
    <w:pitch w:val="variable"/>
    <w:sig w:usb0="A00000FF" w:usb1="5000E07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EA796" w14:textId="77777777" w:rsidR="007255AB" w:rsidRDefault="007255AB" w:rsidP="00552E17">
      <w:r>
        <w:separator/>
      </w:r>
    </w:p>
  </w:footnote>
  <w:footnote w:type="continuationSeparator" w:id="0">
    <w:p w14:paraId="5D5CEB07" w14:textId="77777777" w:rsidR="007255AB" w:rsidRDefault="007255AB" w:rsidP="00552E17">
      <w:r>
        <w:continuationSeparator/>
      </w:r>
    </w:p>
  </w:footnote>
  <w:footnote w:type="continuationNotice" w:id="1">
    <w:p w14:paraId="3C9CE851" w14:textId="77777777" w:rsidR="007255AB" w:rsidRDefault="007255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F9C6C" w14:textId="44CD92B5" w:rsidR="0081036A" w:rsidRDefault="0081036A">
    <w:pPr>
      <w:pStyle w:val="Header"/>
    </w:pPr>
    <w:r w:rsidRPr="004474F0">
      <w:rPr>
        <w:rFonts w:ascii="Arial" w:eastAsia="Times New Roman" w:hAnsi="Arial" w:cs="Arial"/>
        <w:b/>
        <w:bCs/>
        <w:noProof/>
        <w:spacing w:val="5"/>
        <w:sz w:val="32"/>
        <w:szCs w:val="32"/>
      </w:rPr>
      <w:drawing>
        <wp:anchor distT="0" distB="0" distL="114300" distR="114300" simplePos="0" relativeHeight="251659264" behindDoc="1" locked="0" layoutInCell="1" allowOverlap="1" wp14:anchorId="1D820C49" wp14:editId="529C1F45">
          <wp:simplePos x="0" y="0"/>
          <wp:positionH relativeFrom="column">
            <wp:posOffset>0</wp:posOffset>
          </wp:positionH>
          <wp:positionV relativeFrom="paragraph">
            <wp:posOffset>-101600</wp:posOffset>
          </wp:positionV>
          <wp:extent cx="1375410" cy="641985"/>
          <wp:effectExtent l="0" t="0" r="0" b="5715"/>
          <wp:wrapTight wrapText="bothSides">
            <wp:wrapPolygon edited="0">
              <wp:start x="3391" y="0"/>
              <wp:lineTo x="0" y="3418"/>
              <wp:lineTo x="0" y="15383"/>
              <wp:lineTo x="1795" y="20510"/>
              <wp:lineTo x="3191" y="21365"/>
              <wp:lineTo x="6582" y="21365"/>
              <wp:lineTo x="11568" y="20510"/>
              <wp:lineTo x="21341" y="15810"/>
              <wp:lineTo x="21341" y="6837"/>
              <wp:lineTo x="15357" y="6837"/>
              <wp:lineTo x="15756" y="4273"/>
              <wp:lineTo x="14560" y="3418"/>
              <wp:lineTo x="6582" y="0"/>
              <wp:lineTo x="3391"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5410" cy="6419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B5699"/>
    <w:multiLevelType w:val="multilevel"/>
    <w:tmpl w:val="EB2206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D7559E0"/>
    <w:multiLevelType w:val="hybridMultilevel"/>
    <w:tmpl w:val="71962308"/>
    <w:lvl w:ilvl="0" w:tplc="08090001">
      <w:start w:val="1"/>
      <w:numFmt w:val="bullet"/>
      <w:lvlText w:val=""/>
      <w:lvlJc w:val="left"/>
      <w:pPr>
        <w:ind w:left="5147" w:hanging="360"/>
      </w:pPr>
      <w:rPr>
        <w:rFonts w:ascii="Symbol" w:hAnsi="Symbol" w:hint="default"/>
      </w:rPr>
    </w:lvl>
    <w:lvl w:ilvl="1" w:tplc="08090003" w:tentative="1">
      <w:start w:val="1"/>
      <w:numFmt w:val="bullet"/>
      <w:lvlText w:val="o"/>
      <w:lvlJc w:val="left"/>
      <w:pPr>
        <w:ind w:left="5867" w:hanging="360"/>
      </w:pPr>
      <w:rPr>
        <w:rFonts w:ascii="Courier New" w:hAnsi="Courier New" w:hint="default"/>
      </w:rPr>
    </w:lvl>
    <w:lvl w:ilvl="2" w:tplc="08090005" w:tentative="1">
      <w:start w:val="1"/>
      <w:numFmt w:val="bullet"/>
      <w:lvlText w:val=""/>
      <w:lvlJc w:val="left"/>
      <w:pPr>
        <w:ind w:left="6587" w:hanging="360"/>
      </w:pPr>
      <w:rPr>
        <w:rFonts w:ascii="Wingdings" w:hAnsi="Wingdings" w:hint="default"/>
      </w:rPr>
    </w:lvl>
    <w:lvl w:ilvl="3" w:tplc="08090001" w:tentative="1">
      <w:start w:val="1"/>
      <w:numFmt w:val="bullet"/>
      <w:lvlText w:val=""/>
      <w:lvlJc w:val="left"/>
      <w:pPr>
        <w:ind w:left="7307" w:hanging="360"/>
      </w:pPr>
      <w:rPr>
        <w:rFonts w:ascii="Symbol" w:hAnsi="Symbol" w:hint="default"/>
      </w:rPr>
    </w:lvl>
    <w:lvl w:ilvl="4" w:tplc="08090003" w:tentative="1">
      <w:start w:val="1"/>
      <w:numFmt w:val="bullet"/>
      <w:lvlText w:val="o"/>
      <w:lvlJc w:val="left"/>
      <w:pPr>
        <w:ind w:left="8027" w:hanging="360"/>
      </w:pPr>
      <w:rPr>
        <w:rFonts w:ascii="Courier New" w:hAnsi="Courier New" w:hint="default"/>
      </w:rPr>
    </w:lvl>
    <w:lvl w:ilvl="5" w:tplc="08090005" w:tentative="1">
      <w:start w:val="1"/>
      <w:numFmt w:val="bullet"/>
      <w:lvlText w:val=""/>
      <w:lvlJc w:val="left"/>
      <w:pPr>
        <w:ind w:left="8747" w:hanging="360"/>
      </w:pPr>
      <w:rPr>
        <w:rFonts w:ascii="Wingdings" w:hAnsi="Wingdings" w:hint="default"/>
      </w:rPr>
    </w:lvl>
    <w:lvl w:ilvl="6" w:tplc="08090001" w:tentative="1">
      <w:start w:val="1"/>
      <w:numFmt w:val="bullet"/>
      <w:lvlText w:val=""/>
      <w:lvlJc w:val="left"/>
      <w:pPr>
        <w:ind w:left="9467" w:hanging="360"/>
      </w:pPr>
      <w:rPr>
        <w:rFonts w:ascii="Symbol" w:hAnsi="Symbol" w:hint="default"/>
      </w:rPr>
    </w:lvl>
    <w:lvl w:ilvl="7" w:tplc="08090003" w:tentative="1">
      <w:start w:val="1"/>
      <w:numFmt w:val="bullet"/>
      <w:lvlText w:val="o"/>
      <w:lvlJc w:val="left"/>
      <w:pPr>
        <w:ind w:left="10187" w:hanging="360"/>
      </w:pPr>
      <w:rPr>
        <w:rFonts w:ascii="Courier New" w:hAnsi="Courier New" w:hint="default"/>
      </w:rPr>
    </w:lvl>
    <w:lvl w:ilvl="8" w:tplc="08090005" w:tentative="1">
      <w:start w:val="1"/>
      <w:numFmt w:val="bullet"/>
      <w:lvlText w:val=""/>
      <w:lvlJc w:val="left"/>
      <w:pPr>
        <w:ind w:left="10907" w:hanging="360"/>
      </w:pPr>
      <w:rPr>
        <w:rFonts w:ascii="Wingdings" w:hAnsi="Wingdings" w:hint="default"/>
      </w:rPr>
    </w:lvl>
  </w:abstractNum>
  <w:abstractNum w:abstractNumId="2" w15:restartNumberingAfterBreak="0">
    <w:nsid w:val="5E9429E2"/>
    <w:multiLevelType w:val="multilevel"/>
    <w:tmpl w:val="F3A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8048578">
    <w:abstractNumId w:val="2"/>
  </w:num>
  <w:num w:numId="2" w16cid:durableId="183204337">
    <w:abstractNumId w:val="1"/>
  </w:num>
  <w:num w:numId="3" w16cid:durableId="187762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ED"/>
    <w:rsid w:val="000015BD"/>
    <w:rsid w:val="00003708"/>
    <w:rsid w:val="0000442A"/>
    <w:rsid w:val="00005304"/>
    <w:rsid w:val="0000691F"/>
    <w:rsid w:val="000069B1"/>
    <w:rsid w:val="000134C2"/>
    <w:rsid w:val="0001720C"/>
    <w:rsid w:val="00031772"/>
    <w:rsid w:val="0003633C"/>
    <w:rsid w:val="0004159E"/>
    <w:rsid w:val="000415C1"/>
    <w:rsid w:val="000437AF"/>
    <w:rsid w:val="00046E28"/>
    <w:rsid w:val="0005249D"/>
    <w:rsid w:val="00060FE0"/>
    <w:rsid w:val="000643FA"/>
    <w:rsid w:val="00073111"/>
    <w:rsid w:val="0007535A"/>
    <w:rsid w:val="00076F8B"/>
    <w:rsid w:val="00091BBC"/>
    <w:rsid w:val="00095BA4"/>
    <w:rsid w:val="00096E90"/>
    <w:rsid w:val="000A1982"/>
    <w:rsid w:val="000A2054"/>
    <w:rsid w:val="000A3530"/>
    <w:rsid w:val="000A4BC2"/>
    <w:rsid w:val="000A5748"/>
    <w:rsid w:val="000A6000"/>
    <w:rsid w:val="000B0041"/>
    <w:rsid w:val="000B1B8B"/>
    <w:rsid w:val="000B301C"/>
    <w:rsid w:val="000B3867"/>
    <w:rsid w:val="000B7E3F"/>
    <w:rsid w:val="000C4993"/>
    <w:rsid w:val="000C5485"/>
    <w:rsid w:val="000C7B61"/>
    <w:rsid w:val="000D2265"/>
    <w:rsid w:val="000D2C92"/>
    <w:rsid w:val="000D2D4C"/>
    <w:rsid w:val="000D2F2E"/>
    <w:rsid w:val="000D4ABC"/>
    <w:rsid w:val="000E0559"/>
    <w:rsid w:val="000E0FC5"/>
    <w:rsid w:val="000E3801"/>
    <w:rsid w:val="000E475C"/>
    <w:rsid w:val="000E4D51"/>
    <w:rsid w:val="000E6BD2"/>
    <w:rsid w:val="000F10F2"/>
    <w:rsid w:val="000F1734"/>
    <w:rsid w:val="000F364E"/>
    <w:rsid w:val="000F5068"/>
    <w:rsid w:val="000F6079"/>
    <w:rsid w:val="000F6BD1"/>
    <w:rsid w:val="000F7071"/>
    <w:rsid w:val="000F7D66"/>
    <w:rsid w:val="00100B8C"/>
    <w:rsid w:val="0010433D"/>
    <w:rsid w:val="001055DF"/>
    <w:rsid w:val="00106AC9"/>
    <w:rsid w:val="0010AF75"/>
    <w:rsid w:val="0011328F"/>
    <w:rsid w:val="0011425F"/>
    <w:rsid w:val="00114BA5"/>
    <w:rsid w:val="001162DE"/>
    <w:rsid w:val="001240B0"/>
    <w:rsid w:val="00125563"/>
    <w:rsid w:val="00125884"/>
    <w:rsid w:val="00130001"/>
    <w:rsid w:val="0013025C"/>
    <w:rsid w:val="0013732B"/>
    <w:rsid w:val="001408AB"/>
    <w:rsid w:val="00140FEC"/>
    <w:rsid w:val="001438C5"/>
    <w:rsid w:val="001536B3"/>
    <w:rsid w:val="00153C8A"/>
    <w:rsid w:val="0015428F"/>
    <w:rsid w:val="001552CF"/>
    <w:rsid w:val="001602F0"/>
    <w:rsid w:val="00163E6F"/>
    <w:rsid w:val="0016492C"/>
    <w:rsid w:val="0016650B"/>
    <w:rsid w:val="00172576"/>
    <w:rsid w:val="00172E14"/>
    <w:rsid w:val="00173328"/>
    <w:rsid w:val="0017351C"/>
    <w:rsid w:val="001776D8"/>
    <w:rsid w:val="00180341"/>
    <w:rsid w:val="001818EB"/>
    <w:rsid w:val="00182683"/>
    <w:rsid w:val="00182BCC"/>
    <w:rsid w:val="0018728A"/>
    <w:rsid w:val="00187A19"/>
    <w:rsid w:val="00187B73"/>
    <w:rsid w:val="001A03C4"/>
    <w:rsid w:val="001A5A5F"/>
    <w:rsid w:val="001A5D95"/>
    <w:rsid w:val="001A738F"/>
    <w:rsid w:val="001B569F"/>
    <w:rsid w:val="001C2BFA"/>
    <w:rsid w:val="001C5A73"/>
    <w:rsid w:val="001C6642"/>
    <w:rsid w:val="001D19BB"/>
    <w:rsid w:val="001D2E42"/>
    <w:rsid w:val="001D529F"/>
    <w:rsid w:val="001D5FF9"/>
    <w:rsid w:val="001E1EF3"/>
    <w:rsid w:val="001E2E81"/>
    <w:rsid w:val="001E44FC"/>
    <w:rsid w:val="001E4DAC"/>
    <w:rsid w:val="001F39AD"/>
    <w:rsid w:val="001F6739"/>
    <w:rsid w:val="0020236E"/>
    <w:rsid w:val="002028E7"/>
    <w:rsid w:val="00212075"/>
    <w:rsid w:val="0021237C"/>
    <w:rsid w:val="00226A03"/>
    <w:rsid w:val="00231EED"/>
    <w:rsid w:val="00233AEC"/>
    <w:rsid w:val="00234770"/>
    <w:rsid w:val="00236CD6"/>
    <w:rsid w:val="00241A29"/>
    <w:rsid w:val="00241DBF"/>
    <w:rsid w:val="00247692"/>
    <w:rsid w:val="00247DB9"/>
    <w:rsid w:val="0025299C"/>
    <w:rsid w:val="00253B3E"/>
    <w:rsid w:val="00253C27"/>
    <w:rsid w:val="00254464"/>
    <w:rsid w:val="00257885"/>
    <w:rsid w:val="0026182A"/>
    <w:rsid w:val="002618AC"/>
    <w:rsid w:val="002640F6"/>
    <w:rsid w:val="002642F0"/>
    <w:rsid w:val="00273757"/>
    <w:rsid w:val="0027482B"/>
    <w:rsid w:val="00276287"/>
    <w:rsid w:val="00277248"/>
    <w:rsid w:val="00280E24"/>
    <w:rsid w:val="00281B6A"/>
    <w:rsid w:val="00282994"/>
    <w:rsid w:val="0028333B"/>
    <w:rsid w:val="002839C9"/>
    <w:rsid w:val="00286363"/>
    <w:rsid w:val="0029161B"/>
    <w:rsid w:val="002932F1"/>
    <w:rsid w:val="00293CC1"/>
    <w:rsid w:val="00296414"/>
    <w:rsid w:val="00297F6F"/>
    <w:rsid w:val="002A05E5"/>
    <w:rsid w:val="002A1F4F"/>
    <w:rsid w:val="002A390D"/>
    <w:rsid w:val="002A3B10"/>
    <w:rsid w:val="002A66E5"/>
    <w:rsid w:val="002A74A8"/>
    <w:rsid w:val="002A7708"/>
    <w:rsid w:val="002B1B77"/>
    <w:rsid w:val="002B4019"/>
    <w:rsid w:val="002C2063"/>
    <w:rsid w:val="002C3682"/>
    <w:rsid w:val="002C5CBD"/>
    <w:rsid w:val="002C7E54"/>
    <w:rsid w:val="002C7FFD"/>
    <w:rsid w:val="002D001C"/>
    <w:rsid w:val="002D121D"/>
    <w:rsid w:val="002D79C0"/>
    <w:rsid w:val="002E0A2B"/>
    <w:rsid w:val="002E0CE3"/>
    <w:rsid w:val="002E16BF"/>
    <w:rsid w:val="002E291A"/>
    <w:rsid w:val="002F0413"/>
    <w:rsid w:val="002F33E1"/>
    <w:rsid w:val="002F78C6"/>
    <w:rsid w:val="0030164B"/>
    <w:rsid w:val="00304552"/>
    <w:rsid w:val="00304A8B"/>
    <w:rsid w:val="00305E1C"/>
    <w:rsid w:val="003112D5"/>
    <w:rsid w:val="00312C34"/>
    <w:rsid w:val="0031567F"/>
    <w:rsid w:val="00316095"/>
    <w:rsid w:val="003175E6"/>
    <w:rsid w:val="0032777C"/>
    <w:rsid w:val="0033252D"/>
    <w:rsid w:val="00333143"/>
    <w:rsid w:val="0033578A"/>
    <w:rsid w:val="00345BF3"/>
    <w:rsid w:val="0035704D"/>
    <w:rsid w:val="00357962"/>
    <w:rsid w:val="00363995"/>
    <w:rsid w:val="00363DC8"/>
    <w:rsid w:val="003649FC"/>
    <w:rsid w:val="0036658E"/>
    <w:rsid w:val="00366DDE"/>
    <w:rsid w:val="003674E1"/>
    <w:rsid w:val="00371D12"/>
    <w:rsid w:val="0037291A"/>
    <w:rsid w:val="00374A2A"/>
    <w:rsid w:val="003772AC"/>
    <w:rsid w:val="00382B24"/>
    <w:rsid w:val="003842E8"/>
    <w:rsid w:val="00384FC7"/>
    <w:rsid w:val="003915E3"/>
    <w:rsid w:val="0039167E"/>
    <w:rsid w:val="003A10A9"/>
    <w:rsid w:val="003A1282"/>
    <w:rsid w:val="003A3BBB"/>
    <w:rsid w:val="003A4394"/>
    <w:rsid w:val="003A585B"/>
    <w:rsid w:val="003B2F0F"/>
    <w:rsid w:val="003C0982"/>
    <w:rsid w:val="003C1E52"/>
    <w:rsid w:val="003C372F"/>
    <w:rsid w:val="003C5740"/>
    <w:rsid w:val="003C6463"/>
    <w:rsid w:val="003C72A9"/>
    <w:rsid w:val="003D4913"/>
    <w:rsid w:val="003D65DD"/>
    <w:rsid w:val="003E6160"/>
    <w:rsid w:val="003E7E65"/>
    <w:rsid w:val="003F2FD8"/>
    <w:rsid w:val="003F3646"/>
    <w:rsid w:val="003F3B86"/>
    <w:rsid w:val="003F5C41"/>
    <w:rsid w:val="003F5D39"/>
    <w:rsid w:val="003F6F93"/>
    <w:rsid w:val="00403B77"/>
    <w:rsid w:val="00404A45"/>
    <w:rsid w:val="00407881"/>
    <w:rsid w:val="00411E49"/>
    <w:rsid w:val="004145B5"/>
    <w:rsid w:val="00415486"/>
    <w:rsid w:val="00415ED5"/>
    <w:rsid w:val="00415F2A"/>
    <w:rsid w:val="004219F0"/>
    <w:rsid w:val="004246EE"/>
    <w:rsid w:val="00432192"/>
    <w:rsid w:val="004326E0"/>
    <w:rsid w:val="0043433F"/>
    <w:rsid w:val="00434AED"/>
    <w:rsid w:val="00435BE3"/>
    <w:rsid w:val="00436F9D"/>
    <w:rsid w:val="004408CC"/>
    <w:rsid w:val="0044335F"/>
    <w:rsid w:val="00444D1E"/>
    <w:rsid w:val="00453813"/>
    <w:rsid w:val="00454175"/>
    <w:rsid w:val="00454920"/>
    <w:rsid w:val="0045544A"/>
    <w:rsid w:val="00455AF9"/>
    <w:rsid w:val="00460EF6"/>
    <w:rsid w:val="00462367"/>
    <w:rsid w:val="00462765"/>
    <w:rsid w:val="00462ADC"/>
    <w:rsid w:val="00463BC7"/>
    <w:rsid w:val="0046610B"/>
    <w:rsid w:val="00470AAD"/>
    <w:rsid w:val="0047436B"/>
    <w:rsid w:val="00480E32"/>
    <w:rsid w:val="00493C37"/>
    <w:rsid w:val="0049553D"/>
    <w:rsid w:val="004A06F1"/>
    <w:rsid w:val="004A0824"/>
    <w:rsid w:val="004A107B"/>
    <w:rsid w:val="004A2298"/>
    <w:rsid w:val="004B005E"/>
    <w:rsid w:val="004B0F3B"/>
    <w:rsid w:val="004B1964"/>
    <w:rsid w:val="004B2D25"/>
    <w:rsid w:val="004B5C9D"/>
    <w:rsid w:val="004B6349"/>
    <w:rsid w:val="004B6545"/>
    <w:rsid w:val="004C1BE9"/>
    <w:rsid w:val="004C1FF3"/>
    <w:rsid w:val="004C5758"/>
    <w:rsid w:val="004C6C97"/>
    <w:rsid w:val="004C7E24"/>
    <w:rsid w:val="004D026D"/>
    <w:rsid w:val="004E101A"/>
    <w:rsid w:val="004E1DC7"/>
    <w:rsid w:val="004E32B5"/>
    <w:rsid w:val="004E499A"/>
    <w:rsid w:val="004E6ED5"/>
    <w:rsid w:val="004F183F"/>
    <w:rsid w:val="004F1907"/>
    <w:rsid w:val="004F4C01"/>
    <w:rsid w:val="005042E5"/>
    <w:rsid w:val="0050560E"/>
    <w:rsid w:val="005113EA"/>
    <w:rsid w:val="00517BE6"/>
    <w:rsid w:val="0052252B"/>
    <w:rsid w:val="00531F9B"/>
    <w:rsid w:val="00534A75"/>
    <w:rsid w:val="00536930"/>
    <w:rsid w:val="00537015"/>
    <w:rsid w:val="00544063"/>
    <w:rsid w:val="00545DED"/>
    <w:rsid w:val="00552BF2"/>
    <w:rsid w:val="00552E17"/>
    <w:rsid w:val="0055321A"/>
    <w:rsid w:val="005538BA"/>
    <w:rsid w:val="005547A9"/>
    <w:rsid w:val="005574B7"/>
    <w:rsid w:val="005600BC"/>
    <w:rsid w:val="00561379"/>
    <w:rsid w:val="00562DDC"/>
    <w:rsid w:val="00562EA5"/>
    <w:rsid w:val="00564A33"/>
    <w:rsid w:val="00565863"/>
    <w:rsid w:val="005700DE"/>
    <w:rsid w:val="00573185"/>
    <w:rsid w:val="00574433"/>
    <w:rsid w:val="0057584B"/>
    <w:rsid w:val="005779FC"/>
    <w:rsid w:val="00577F04"/>
    <w:rsid w:val="00586521"/>
    <w:rsid w:val="00586A7C"/>
    <w:rsid w:val="00592413"/>
    <w:rsid w:val="005A3EC2"/>
    <w:rsid w:val="005B11A8"/>
    <w:rsid w:val="005B47F8"/>
    <w:rsid w:val="005B651D"/>
    <w:rsid w:val="005C4A51"/>
    <w:rsid w:val="005C4F2A"/>
    <w:rsid w:val="005C7F89"/>
    <w:rsid w:val="005D29AF"/>
    <w:rsid w:val="005D5BCD"/>
    <w:rsid w:val="005D771D"/>
    <w:rsid w:val="005E0936"/>
    <w:rsid w:val="005E1157"/>
    <w:rsid w:val="005E36C2"/>
    <w:rsid w:val="005E7990"/>
    <w:rsid w:val="005F2117"/>
    <w:rsid w:val="005F30A4"/>
    <w:rsid w:val="005F415A"/>
    <w:rsid w:val="005F4B09"/>
    <w:rsid w:val="005F7112"/>
    <w:rsid w:val="006028EE"/>
    <w:rsid w:val="006049C0"/>
    <w:rsid w:val="0061477C"/>
    <w:rsid w:val="00615237"/>
    <w:rsid w:val="006237B6"/>
    <w:rsid w:val="00625F2A"/>
    <w:rsid w:val="006268E8"/>
    <w:rsid w:val="00626A95"/>
    <w:rsid w:val="006342A6"/>
    <w:rsid w:val="006364B1"/>
    <w:rsid w:val="00636CBE"/>
    <w:rsid w:val="00637B5D"/>
    <w:rsid w:val="00644E86"/>
    <w:rsid w:val="00645B96"/>
    <w:rsid w:val="00645E3A"/>
    <w:rsid w:val="00646D3A"/>
    <w:rsid w:val="00647348"/>
    <w:rsid w:val="00647B64"/>
    <w:rsid w:val="00650D9F"/>
    <w:rsid w:val="00651024"/>
    <w:rsid w:val="00654404"/>
    <w:rsid w:val="00656948"/>
    <w:rsid w:val="00660184"/>
    <w:rsid w:val="0066053C"/>
    <w:rsid w:val="00660784"/>
    <w:rsid w:val="00661118"/>
    <w:rsid w:val="00663BA3"/>
    <w:rsid w:val="00665DB1"/>
    <w:rsid w:val="006664FF"/>
    <w:rsid w:val="006701C5"/>
    <w:rsid w:val="00671637"/>
    <w:rsid w:val="006720A1"/>
    <w:rsid w:val="00672137"/>
    <w:rsid w:val="00672687"/>
    <w:rsid w:val="00673790"/>
    <w:rsid w:val="00677A14"/>
    <w:rsid w:val="00680117"/>
    <w:rsid w:val="00681272"/>
    <w:rsid w:val="00686235"/>
    <w:rsid w:val="00691D64"/>
    <w:rsid w:val="00692CE4"/>
    <w:rsid w:val="00693039"/>
    <w:rsid w:val="006A1CD3"/>
    <w:rsid w:val="006A2605"/>
    <w:rsid w:val="006A5A88"/>
    <w:rsid w:val="006B1E04"/>
    <w:rsid w:val="006B4E21"/>
    <w:rsid w:val="006B6C51"/>
    <w:rsid w:val="006B772B"/>
    <w:rsid w:val="006C1589"/>
    <w:rsid w:val="006C235D"/>
    <w:rsid w:val="006C2474"/>
    <w:rsid w:val="006C5236"/>
    <w:rsid w:val="006C5C23"/>
    <w:rsid w:val="006D1E28"/>
    <w:rsid w:val="006D605A"/>
    <w:rsid w:val="006D7255"/>
    <w:rsid w:val="006E1AC7"/>
    <w:rsid w:val="006E72D8"/>
    <w:rsid w:val="006F39CD"/>
    <w:rsid w:val="006F66C7"/>
    <w:rsid w:val="00706287"/>
    <w:rsid w:val="0070737A"/>
    <w:rsid w:val="0071003E"/>
    <w:rsid w:val="00712CEA"/>
    <w:rsid w:val="0071321E"/>
    <w:rsid w:val="00713409"/>
    <w:rsid w:val="00715B2F"/>
    <w:rsid w:val="007255AB"/>
    <w:rsid w:val="00726E71"/>
    <w:rsid w:val="007328C9"/>
    <w:rsid w:val="00735ABA"/>
    <w:rsid w:val="00741104"/>
    <w:rsid w:val="00741E02"/>
    <w:rsid w:val="0074527B"/>
    <w:rsid w:val="00751989"/>
    <w:rsid w:val="00752F41"/>
    <w:rsid w:val="00757795"/>
    <w:rsid w:val="00757DD1"/>
    <w:rsid w:val="00763D59"/>
    <w:rsid w:val="00765BC4"/>
    <w:rsid w:val="00780181"/>
    <w:rsid w:val="00781858"/>
    <w:rsid w:val="0078302D"/>
    <w:rsid w:val="007842CA"/>
    <w:rsid w:val="00784563"/>
    <w:rsid w:val="007921E1"/>
    <w:rsid w:val="00795179"/>
    <w:rsid w:val="007962DA"/>
    <w:rsid w:val="007973B1"/>
    <w:rsid w:val="007A0725"/>
    <w:rsid w:val="007A3A13"/>
    <w:rsid w:val="007B1490"/>
    <w:rsid w:val="007B39ED"/>
    <w:rsid w:val="007B3CC3"/>
    <w:rsid w:val="007C226D"/>
    <w:rsid w:val="007C4AE9"/>
    <w:rsid w:val="007C4B33"/>
    <w:rsid w:val="007D5E07"/>
    <w:rsid w:val="007E2A8E"/>
    <w:rsid w:val="007E2C4E"/>
    <w:rsid w:val="007F2CBC"/>
    <w:rsid w:val="007F3A22"/>
    <w:rsid w:val="007F6CCA"/>
    <w:rsid w:val="008038B4"/>
    <w:rsid w:val="00803D69"/>
    <w:rsid w:val="00810069"/>
    <w:rsid w:val="0081036A"/>
    <w:rsid w:val="00813964"/>
    <w:rsid w:val="00817D05"/>
    <w:rsid w:val="008202CD"/>
    <w:rsid w:val="0082272E"/>
    <w:rsid w:val="00823615"/>
    <w:rsid w:val="00826F2E"/>
    <w:rsid w:val="00833ED5"/>
    <w:rsid w:val="008412BD"/>
    <w:rsid w:val="00843EE8"/>
    <w:rsid w:val="0084475E"/>
    <w:rsid w:val="00844E76"/>
    <w:rsid w:val="00844F66"/>
    <w:rsid w:val="00847C55"/>
    <w:rsid w:val="00850007"/>
    <w:rsid w:val="00850849"/>
    <w:rsid w:val="0085107B"/>
    <w:rsid w:val="0085454F"/>
    <w:rsid w:val="00861510"/>
    <w:rsid w:val="008655DC"/>
    <w:rsid w:val="00866EE7"/>
    <w:rsid w:val="008725DA"/>
    <w:rsid w:val="00876468"/>
    <w:rsid w:val="00880D8C"/>
    <w:rsid w:val="00881C39"/>
    <w:rsid w:val="00882D5B"/>
    <w:rsid w:val="00883E25"/>
    <w:rsid w:val="00885E91"/>
    <w:rsid w:val="0089050A"/>
    <w:rsid w:val="00890F03"/>
    <w:rsid w:val="00892DA8"/>
    <w:rsid w:val="00894DD1"/>
    <w:rsid w:val="008A06B8"/>
    <w:rsid w:val="008A0793"/>
    <w:rsid w:val="008A1D01"/>
    <w:rsid w:val="008A5B12"/>
    <w:rsid w:val="008A5C75"/>
    <w:rsid w:val="008A640C"/>
    <w:rsid w:val="008A6CC3"/>
    <w:rsid w:val="008B4FC1"/>
    <w:rsid w:val="008B6DB4"/>
    <w:rsid w:val="008C0A88"/>
    <w:rsid w:val="008C38D9"/>
    <w:rsid w:val="008C3F03"/>
    <w:rsid w:val="008C4618"/>
    <w:rsid w:val="008D01F7"/>
    <w:rsid w:val="008D0747"/>
    <w:rsid w:val="008D0D2F"/>
    <w:rsid w:val="008D1EFC"/>
    <w:rsid w:val="008D5354"/>
    <w:rsid w:val="008F0CAF"/>
    <w:rsid w:val="008F1FC0"/>
    <w:rsid w:val="008F297D"/>
    <w:rsid w:val="008F5A41"/>
    <w:rsid w:val="008F77F6"/>
    <w:rsid w:val="00901956"/>
    <w:rsid w:val="00902AFB"/>
    <w:rsid w:val="00902E9A"/>
    <w:rsid w:val="00905D1A"/>
    <w:rsid w:val="00910F11"/>
    <w:rsid w:val="00914FE8"/>
    <w:rsid w:val="00922131"/>
    <w:rsid w:val="00924A71"/>
    <w:rsid w:val="009256FE"/>
    <w:rsid w:val="00926901"/>
    <w:rsid w:val="00926D81"/>
    <w:rsid w:val="00927E3F"/>
    <w:rsid w:val="00932E65"/>
    <w:rsid w:val="00936F7F"/>
    <w:rsid w:val="009405CE"/>
    <w:rsid w:val="009435AC"/>
    <w:rsid w:val="00944700"/>
    <w:rsid w:val="00945E84"/>
    <w:rsid w:val="00953B2F"/>
    <w:rsid w:val="00953C31"/>
    <w:rsid w:val="00955DF3"/>
    <w:rsid w:val="00962E96"/>
    <w:rsid w:val="009775D2"/>
    <w:rsid w:val="00986937"/>
    <w:rsid w:val="00986E4D"/>
    <w:rsid w:val="009871C8"/>
    <w:rsid w:val="0098723C"/>
    <w:rsid w:val="0099304C"/>
    <w:rsid w:val="009934FE"/>
    <w:rsid w:val="00995472"/>
    <w:rsid w:val="0099793D"/>
    <w:rsid w:val="00997FFE"/>
    <w:rsid w:val="009B308C"/>
    <w:rsid w:val="009B3177"/>
    <w:rsid w:val="009B5EF7"/>
    <w:rsid w:val="009C0027"/>
    <w:rsid w:val="009C24A5"/>
    <w:rsid w:val="009C2649"/>
    <w:rsid w:val="009C4E3B"/>
    <w:rsid w:val="009C65BD"/>
    <w:rsid w:val="009C7C53"/>
    <w:rsid w:val="009E1DB7"/>
    <w:rsid w:val="009F1611"/>
    <w:rsid w:val="009F4C7D"/>
    <w:rsid w:val="00A0003C"/>
    <w:rsid w:val="00A04BEE"/>
    <w:rsid w:val="00A06239"/>
    <w:rsid w:val="00A06AB3"/>
    <w:rsid w:val="00A076D8"/>
    <w:rsid w:val="00A12027"/>
    <w:rsid w:val="00A151A6"/>
    <w:rsid w:val="00A16711"/>
    <w:rsid w:val="00A1749B"/>
    <w:rsid w:val="00A20188"/>
    <w:rsid w:val="00A2033A"/>
    <w:rsid w:val="00A23158"/>
    <w:rsid w:val="00A24B97"/>
    <w:rsid w:val="00A24F8B"/>
    <w:rsid w:val="00A2504E"/>
    <w:rsid w:val="00A26011"/>
    <w:rsid w:val="00A32057"/>
    <w:rsid w:val="00A32754"/>
    <w:rsid w:val="00A37529"/>
    <w:rsid w:val="00A45034"/>
    <w:rsid w:val="00A516A8"/>
    <w:rsid w:val="00A548BD"/>
    <w:rsid w:val="00A57C9F"/>
    <w:rsid w:val="00A60336"/>
    <w:rsid w:val="00A6687C"/>
    <w:rsid w:val="00A7432A"/>
    <w:rsid w:val="00A75370"/>
    <w:rsid w:val="00A81412"/>
    <w:rsid w:val="00A84609"/>
    <w:rsid w:val="00A86576"/>
    <w:rsid w:val="00A869A4"/>
    <w:rsid w:val="00A943DB"/>
    <w:rsid w:val="00A95194"/>
    <w:rsid w:val="00A95625"/>
    <w:rsid w:val="00A95F8F"/>
    <w:rsid w:val="00AA55C2"/>
    <w:rsid w:val="00AB52A0"/>
    <w:rsid w:val="00AB6232"/>
    <w:rsid w:val="00AB706B"/>
    <w:rsid w:val="00AB7CD3"/>
    <w:rsid w:val="00AC17F2"/>
    <w:rsid w:val="00AC29A2"/>
    <w:rsid w:val="00AC479C"/>
    <w:rsid w:val="00AC6C94"/>
    <w:rsid w:val="00AD513A"/>
    <w:rsid w:val="00AE106B"/>
    <w:rsid w:val="00AE11A8"/>
    <w:rsid w:val="00AE23A1"/>
    <w:rsid w:val="00AE4F33"/>
    <w:rsid w:val="00AE72DF"/>
    <w:rsid w:val="00AF19B5"/>
    <w:rsid w:val="00AF2025"/>
    <w:rsid w:val="00AF3BDE"/>
    <w:rsid w:val="00B1367F"/>
    <w:rsid w:val="00B13E42"/>
    <w:rsid w:val="00B17091"/>
    <w:rsid w:val="00B212D7"/>
    <w:rsid w:val="00B214CB"/>
    <w:rsid w:val="00B234B9"/>
    <w:rsid w:val="00B25875"/>
    <w:rsid w:val="00B275D2"/>
    <w:rsid w:val="00B3183E"/>
    <w:rsid w:val="00B40A78"/>
    <w:rsid w:val="00B43216"/>
    <w:rsid w:val="00B43BAB"/>
    <w:rsid w:val="00B444C8"/>
    <w:rsid w:val="00B45964"/>
    <w:rsid w:val="00B462F8"/>
    <w:rsid w:val="00B46679"/>
    <w:rsid w:val="00B516BA"/>
    <w:rsid w:val="00B5444C"/>
    <w:rsid w:val="00B55D5A"/>
    <w:rsid w:val="00B60BD3"/>
    <w:rsid w:val="00B61A86"/>
    <w:rsid w:val="00B62677"/>
    <w:rsid w:val="00B67E06"/>
    <w:rsid w:val="00B70805"/>
    <w:rsid w:val="00B84B6B"/>
    <w:rsid w:val="00B8588B"/>
    <w:rsid w:val="00B8726C"/>
    <w:rsid w:val="00B90EEE"/>
    <w:rsid w:val="00B925E8"/>
    <w:rsid w:val="00B97BA0"/>
    <w:rsid w:val="00BA12A8"/>
    <w:rsid w:val="00BB04E0"/>
    <w:rsid w:val="00BB0BDD"/>
    <w:rsid w:val="00BB444C"/>
    <w:rsid w:val="00BB60BF"/>
    <w:rsid w:val="00BB7C5E"/>
    <w:rsid w:val="00BC1E9B"/>
    <w:rsid w:val="00BC6299"/>
    <w:rsid w:val="00BC734F"/>
    <w:rsid w:val="00BD0DBC"/>
    <w:rsid w:val="00BD26C9"/>
    <w:rsid w:val="00BD44CC"/>
    <w:rsid w:val="00BE11AF"/>
    <w:rsid w:val="00BE6632"/>
    <w:rsid w:val="00BF0609"/>
    <w:rsid w:val="00BF3068"/>
    <w:rsid w:val="00BF4B6B"/>
    <w:rsid w:val="00BF5F3A"/>
    <w:rsid w:val="00C01377"/>
    <w:rsid w:val="00C04401"/>
    <w:rsid w:val="00C07958"/>
    <w:rsid w:val="00C079A8"/>
    <w:rsid w:val="00C12DE7"/>
    <w:rsid w:val="00C16D6C"/>
    <w:rsid w:val="00C2174A"/>
    <w:rsid w:val="00C23C83"/>
    <w:rsid w:val="00C256F5"/>
    <w:rsid w:val="00C3264F"/>
    <w:rsid w:val="00C33174"/>
    <w:rsid w:val="00C36DA5"/>
    <w:rsid w:val="00C42A96"/>
    <w:rsid w:val="00C4418B"/>
    <w:rsid w:val="00C50108"/>
    <w:rsid w:val="00C528B2"/>
    <w:rsid w:val="00C62799"/>
    <w:rsid w:val="00C627AE"/>
    <w:rsid w:val="00C63196"/>
    <w:rsid w:val="00C658E3"/>
    <w:rsid w:val="00C673E0"/>
    <w:rsid w:val="00C73CE0"/>
    <w:rsid w:val="00C80E21"/>
    <w:rsid w:val="00C81D44"/>
    <w:rsid w:val="00C82A75"/>
    <w:rsid w:val="00C85F09"/>
    <w:rsid w:val="00C9081F"/>
    <w:rsid w:val="00C9142E"/>
    <w:rsid w:val="00C973FF"/>
    <w:rsid w:val="00C9798E"/>
    <w:rsid w:val="00C97D03"/>
    <w:rsid w:val="00CA6C18"/>
    <w:rsid w:val="00CA72EB"/>
    <w:rsid w:val="00CB1CA9"/>
    <w:rsid w:val="00CB6AED"/>
    <w:rsid w:val="00CC3647"/>
    <w:rsid w:val="00CC3A59"/>
    <w:rsid w:val="00CC5B06"/>
    <w:rsid w:val="00CC7011"/>
    <w:rsid w:val="00CC754D"/>
    <w:rsid w:val="00CD0F61"/>
    <w:rsid w:val="00CD1A5E"/>
    <w:rsid w:val="00CD22C9"/>
    <w:rsid w:val="00CD2F0D"/>
    <w:rsid w:val="00CD3147"/>
    <w:rsid w:val="00CD7070"/>
    <w:rsid w:val="00CE4DAC"/>
    <w:rsid w:val="00CE4E32"/>
    <w:rsid w:val="00CE58FE"/>
    <w:rsid w:val="00CE6837"/>
    <w:rsid w:val="00CF1915"/>
    <w:rsid w:val="00CF5379"/>
    <w:rsid w:val="00CF6335"/>
    <w:rsid w:val="00D01956"/>
    <w:rsid w:val="00D061FC"/>
    <w:rsid w:val="00D1181F"/>
    <w:rsid w:val="00D12575"/>
    <w:rsid w:val="00D1266C"/>
    <w:rsid w:val="00D14518"/>
    <w:rsid w:val="00D14C1F"/>
    <w:rsid w:val="00D14D11"/>
    <w:rsid w:val="00D15E13"/>
    <w:rsid w:val="00D16FE6"/>
    <w:rsid w:val="00D22209"/>
    <w:rsid w:val="00D22F12"/>
    <w:rsid w:val="00D253BF"/>
    <w:rsid w:val="00D25F81"/>
    <w:rsid w:val="00D26A1B"/>
    <w:rsid w:val="00D30B3B"/>
    <w:rsid w:val="00D31902"/>
    <w:rsid w:val="00D3430A"/>
    <w:rsid w:val="00D3454E"/>
    <w:rsid w:val="00D34C92"/>
    <w:rsid w:val="00D36FE6"/>
    <w:rsid w:val="00D37B49"/>
    <w:rsid w:val="00D413EE"/>
    <w:rsid w:val="00D455CA"/>
    <w:rsid w:val="00D46432"/>
    <w:rsid w:val="00D50CE7"/>
    <w:rsid w:val="00D511A8"/>
    <w:rsid w:val="00D520D3"/>
    <w:rsid w:val="00D52BAE"/>
    <w:rsid w:val="00D545BC"/>
    <w:rsid w:val="00D61EAB"/>
    <w:rsid w:val="00D6308C"/>
    <w:rsid w:val="00D65325"/>
    <w:rsid w:val="00D65721"/>
    <w:rsid w:val="00D66EC6"/>
    <w:rsid w:val="00D74B6B"/>
    <w:rsid w:val="00D76120"/>
    <w:rsid w:val="00D76174"/>
    <w:rsid w:val="00D80D51"/>
    <w:rsid w:val="00D81965"/>
    <w:rsid w:val="00D83D30"/>
    <w:rsid w:val="00D9687E"/>
    <w:rsid w:val="00D97621"/>
    <w:rsid w:val="00DA083D"/>
    <w:rsid w:val="00DA1625"/>
    <w:rsid w:val="00DA696C"/>
    <w:rsid w:val="00DB07BB"/>
    <w:rsid w:val="00DB149C"/>
    <w:rsid w:val="00DC55D8"/>
    <w:rsid w:val="00DC6BB8"/>
    <w:rsid w:val="00DD0EEC"/>
    <w:rsid w:val="00DD3A55"/>
    <w:rsid w:val="00DD66A8"/>
    <w:rsid w:val="00DE5E0E"/>
    <w:rsid w:val="00DE7367"/>
    <w:rsid w:val="00DF174D"/>
    <w:rsid w:val="00DF2A10"/>
    <w:rsid w:val="00DF3DF3"/>
    <w:rsid w:val="00DF4703"/>
    <w:rsid w:val="00DF7901"/>
    <w:rsid w:val="00E0084D"/>
    <w:rsid w:val="00E0176F"/>
    <w:rsid w:val="00E02A39"/>
    <w:rsid w:val="00E0357F"/>
    <w:rsid w:val="00E04230"/>
    <w:rsid w:val="00E058F8"/>
    <w:rsid w:val="00E068E6"/>
    <w:rsid w:val="00E07210"/>
    <w:rsid w:val="00E12FE7"/>
    <w:rsid w:val="00E17138"/>
    <w:rsid w:val="00E2205E"/>
    <w:rsid w:val="00E26E03"/>
    <w:rsid w:val="00E26F47"/>
    <w:rsid w:val="00E32C23"/>
    <w:rsid w:val="00E3356E"/>
    <w:rsid w:val="00E33C02"/>
    <w:rsid w:val="00E33E2D"/>
    <w:rsid w:val="00E340E9"/>
    <w:rsid w:val="00E35807"/>
    <w:rsid w:val="00E40180"/>
    <w:rsid w:val="00E43F6D"/>
    <w:rsid w:val="00E52578"/>
    <w:rsid w:val="00E528FF"/>
    <w:rsid w:val="00E5591C"/>
    <w:rsid w:val="00E57B63"/>
    <w:rsid w:val="00E6128D"/>
    <w:rsid w:val="00E64EC4"/>
    <w:rsid w:val="00E73395"/>
    <w:rsid w:val="00E734C3"/>
    <w:rsid w:val="00E73D3B"/>
    <w:rsid w:val="00E74095"/>
    <w:rsid w:val="00E80A6D"/>
    <w:rsid w:val="00E82307"/>
    <w:rsid w:val="00E82A1D"/>
    <w:rsid w:val="00E91501"/>
    <w:rsid w:val="00E926C1"/>
    <w:rsid w:val="00E93744"/>
    <w:rsid w:val="00E9549F"/>
    <w:rsid w:val="00EA0A25"/>
    <w:rsid w:val="00EA0F60"/>
    <w:rsid w:val="00EA55DC"/>
    <w:rsid w:val="00EA58DC"/>
    <w:rsid w:val="00EA77D8"/>
    <w:rsid w:val="00EA7F42"/>
    <w:rsid w:val="00EB2EC7"/>
    <w:rsid w:val="00EB3055"/>
    <w:rsid w:val="00EB6E71"/>
    <w:rsid w:val="00EC61D3"/>
    <w:rsid w:val="00EC6E4D"/>
    <w:rsid w:val="00ED1BD2"/>
    <w:rsid w:val="00ED2217"/>
    <w:rsid w:val="00ED27F1"/>
    <w:rsid w:val="00ED295F"/>
    <w:rsid w:val="00ED35FB"/>
    <w:rsid w:val="00ED4E08"/>
    <w:rsid w:val="00ED762D"/>
    <w:rsid w:val="00EE0496"/>
    <w:rsid w:val="00EE390D"/>
    <w:rsid w:val="00EE7B59"/>
    <w:rsid w:val="00EF31F9"/>
    <w:rsid w:val="00EF4F0C"/>
    <w:rsid w:val="00F03369"/>
    <w:rsid w:val="00F03AC1"/>
    <w:rsid w:val="00F0781E"/>
    <w:rsid w:val="00F114B5"/>
    <w:rsid w:val="00F1169A"/>
    <w:rsid w:val="00F12F0B"/>
    <w:rsid w:val="00F14625"/>
    <w:rsid w:val="00F21234"/>
    <w:rsid w:val="00F230F8"/>
    <w:rsid w:val="00F2414B"/>
    <w:rsid w:val="00F25E18"/>
    <w:rsid w:val="00F30B30"/>
    <w:rsid w:val="00F32D17"/>
    <w:rsid w:val="00F359D9"/>
    <w:rsid w:val="00F46588"/>
    <w:rsid w:val="00F47C9A"/>
    <w:rsid w:val="00F5739D"/>
    <w:rsid w:val="00F60C86"/>
    <w:rsid w:val="00F67161"/>
    <w:rsid w:val="00F74157"/>
    <w:rsid w:val="00F74DF1"/>
    <w:rsid w:val="00F75E73"/>
    <w:rsid w:val="00F81990"/>
    <w:rsid w:val="00F857CE"/>
    <w:rsid w:val="00F86D54"/>
    <w:rsid w:val="00F95584"/>
    <w:rsid w:val="00F9591B"/>
    <w:rsid w:val="00F95B53"/>
    <w:rsid w:val="00FA0F82"/>
    <w:rsid w:val="00FA6B12"/>
    <w:rsid w:val="00FA7F2C"/>
    <w:rsid w:val="00FB6432"/>
    <w:rsid w:val="00FB77A5"/>
    <w:rsid w:val="00FC5958"/>
    <w:rsid w:val="00FD3EB6"/>
    <w:rsid w:val="00FD6D4B"/>
    <w:rsid w:val="00FE1686"/>
    <w:rsid w:val="00FE1942"/>
    <w:rsid w:val="00FE1C00"/>
    <w:rsid w:val="00FE2E42"/>
    <w:rsid w:val="00FE5987"/>
    <w:rsid w:val="00FF079F"/>
    <w:rsid w:val="00FF1C2C"/>
    <w:rsid w:val="00FF3D89"/>
    <w:rsid w:val="00FF3E8B"/>
    <w:rsid w:val="00FF6F84"/>
    <w:rsid w:val="00FF7440"/>
    <w:rsid w:val="0313C6DA"/>
    <w:rsid w:val="0447D6F9"/>
    <w:rsid w:val="04CA25CB"/>
    <w:rsid w:val="0A6B1EE7"/>
    <w:rsid w:val="0C609EDE"/>
    <w:rsid w:val="10633AAD"/>
    <w:rsid w:val="1094BECD"/>
    <w:rsid w:val="16526B81"/>
    <w:rsid w:val="16AF36B7"/>
    <w:rsid w:val="16EDC043"/>
    <w:rsid w:val="187547E0"/>
    <w:rsid w:val="1AC70805"/>
    <w:rsid w:val="1ACE86D9"/>
    <w:rsid w:val="1D515D3E"/>
    <w:rsid w:val="2170B282"/>
    <w:rsid w:val="2429E3B2"/>
    <w:rsid w:val="2999F55C"/>
    <w:rsid w:val="2BE4D904"/>
    <w:rsid w:val="30CF40DD"/>
    <w:rsid w:val="320604B8"/>
    <w:rsid w:val="36031C3C"/>
    <w:rsid w:val="36199609"/>
    <w:rsid w:val="370F51CA"/>
    <w:rsid w:val="3919E9F6"/>
    <w:rsid w:val="3B31FF53"/>
    <w:rsid w:val="3D7DD9B6"/>
    <w:rsid w:val="41445289"/>
    <w:rsid w:val="441F16F1"/>
    <w:rsid w:val="45A1D124"/>
    <w:rsid w:val="46DC5914"/>
    <w:rsid w:val="46F51C73"/>
    <w:rsid w:val="4C4CBBD6"/>
    <w:rsid w:val="4CFD3161"/>
    <w:rsid w:val="4D1BAC6E"/>
    <w:rsid w:val="4E6E6332"/>
    <w:rsid w:val="50D90DEF"/>
    <w:rsid w:val="51FDC253"/>
    <w:rsid w:val="53E09472"/>
    <w:rsid w:val="54A0AEEA"/>
    <w:rsid w:val="59005749"/>
    <w:rsid w:val="5A3200D9"/>
    <w:rsid w:val="5E42D04A"/>
    <w:rsid w:val="5E9DAF59"/>
    <w:rsid w:val="61141A50"/>
    <w:rsid w:val="63450D11"/>
    <w:rsid w:val="66B245C3"/>
    <w:rsid w:val="6808F394"/>
    <w:rsid w:val="69BDEC52"/>
    <w:rsid w:val="6D8C5FAB"/>
    <w:rsid w:val="6EB6EC6D"/>
    <w:rsid w:val="70BF53AD"/>
    <w:rsid w:val="74F17407"/>
    <w:rsid w:val="773BA8C1"/>
    <w:rsid w:val="7CA86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FD08"/>
  <w15:chartTrackingRefBased/>
  <w15:docId w15:val="{44F9AB0D-8D3A-C044-AD55-654248BA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ntemps Games"/>
    <w:qFormat/>
    <w:rsid w:val="0035704D"/>
    <w:rPr>
      <w:rFonts w:ascii="Work Sans" w:hAnsi="Work San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76F"/>
    <w:rPr>
      <w:sz w:val="16"/>
      <w:szCs w:val="16"/>
    </w:rPr>
  </w:style>
  <w:style w:type="paragraph" w:styleId="CommentText">
    <w:name w:val="annotation text"/>
    <w:basedOn w:val="Normal"/>
    <w:link w:val="CommentTextChar"/>
    <w:uiPriority w:val="99"/>
    <w:unhideWhenUsed/>
    <w:rsid w:val="00E0176F"/>
    <w:rPr>
      <w:sz w:val="20"/>
      <w:szCs w:val="20"/>
    </w:rPr>
  </w:style>
  <w:style w:type="character" w:customStyle="1" w:styleId="CommentTextChar">
    <w:name w:val="Comment Text Char"/>
    <w:basedOn w:val="DefaultParagraphFont"/>
    <w:link w:val="CommentText"/>
    <w:uiPriority w:val="99"/>
    <w:rsid w:val="00E0176F"/>
    <w:rPr>
      <w:rFonts w:ascii="Work Sans" w:hAnsi="Work Sans"/>
      <w:sz w:val="20"/>
      <w:szCs w:val="20"/>
    </w:rPr>
  </w:style>
  <w:style w:type="paragraph" w:styleId="CommentSubject">
    <w:name w:val="annotation subject"/>
    <w:basedOn w:val="CommentText"/>
    <w:next w:val="CommentText"/>
    <w:link w:val="CommentSubjectChar"/>
    <w:uiPriority w:val="99"/>
    <w:semiHidden/>
    <w:unhideWhenUsed/>
    <w:rsid w:val="00E0176F"/>
    <w:rPr>
      <w:b/>
      <w:bCs/>
    </w:rPr>
  </w:style>
  <w:style w:type="character" w:customStyle="1" w:styleId="CommentSubjectChar">
    <w:name w:val="Comment Subject Char"/>
    <w:basedOn w:val="CommentTextChar"/>
    <w:link w:val="CommentSubject"/>
    <w:uiPriority w:val="99"/>
    <w:semiHidden/>
    <w:rsid w:val="00E0176F"/>
    <w:rPr>
      <w:rFonts w:ascii="Work Sans" w:hAnsi="Work Sans"/>
      <w:b/>
      <w:bCs/>
      <w:sz w:val="20"/>
      <w:szCs w:val="20"/>
    </w:rPr>
  </w:style>
  <w:style w:type="paragraph" w:styleId="Revision">
    <w:name w:val="Revision"/>
    <w:hidden/>
    <w:uiPriority w:val="99"/>
    <w:semiHidden/>
    <w:rsid w:val="00565863"/>
    <w:rPr>
      <w:rFonts w:ascii="Work Sans" w:hAnsi="Work Sans"/>
      <w:sz w:val="22"/>
    </w:rPr>
  </w:style>
  <w:style w:type="paragraph" w:styleId="Header">
    <w:name w:val="header"/>
    <w:basedOn w:val="Normal"/>
    <w:link w:val="HeaderChar"/>
    <w:uiPriority w:val="99"/>
    <w:unhideWhenUsed/>
    <w:rsid w:val="00552E17"/>
    <w:pPr>
      <w:tabs>
        <w:tab w:val="center" w:pos="4513"/>
        <w:tab w:val="right" w:pos="9026"/>
      </w:tabs>
    </w:pPr>
  </w:style>
  <w:style w:type="character" w:customStyle="1" w:styleId="HeaderChar">
    <w:name w:val="Header Char"/>
    <w:basedOn w:val="DefaultParagraphFont"/>
    <w:link w:val="Header"/>
    <w:uiPriority w:val="99"/>
    <w:rsid w:val="00552E17"/>
    <w:rPr>
      <w:rFonts w:ascii="Work Sans" w:hAnsi="Work Sans"/>
      <w:sz w:val="22"/>
    </w:rPr>
  </w:style>
  <w:style w:type="paragraph" w:styleId="Footer">
    <w:name w:val="footer"/>
    <w:basedOn w:val="Normal"/>
    <w:link w:val="FooterChar"/>
    <w:uiPriority w:val="99"/>
    <w:unhideWhenUsed/>
    <w:rsid w:val="00552E17"/>
    <w:pPr>
      <w:tabs>
        <w:tab w:val="center" w:pos="4513"/>
        <w:tab w:val="right" w:pos="9026"/>
      </w:tabs>
    </w:pPr>
  </w:style>
  <w:style w:type="character" w:customStyle="1" w:styleId="FooterChar">
    <w:name w:val="Footer Char"/>
    <w:basedOn w:val="DefaultParagraphFont"/>
    <w:link w:val="Footer"/>
    <w:uiPriority w:val="99"/>
    <w:rsid w:val="00552E17"/>
    <w:rPr>
      <w:rFonts w:ascii="Work Sans" w:hAnsi="Work Sans"/>
      <w:sz w:val="22"/>
    </w:rPr>
  </w:style>
  <w:style w:type="character" w:styleId="Hyperlink">
    <w:name w:val="Hyperlink"/>
    <w:basedOn w:val="DefaultParagraphFont"/>
    <w:uiPriority w:val="99"/>
    <w:unhideWhenUsed/>
    <w:rsid w:val="009435AC"/>
    <w:rPr>
      <w:color w:val="0000FF"/>
      <w:u w:val="single"/>
    </w:rPr>
  </w:style>
  <w:style w:type="character" w:styleId="UnresolvedMention">
    <w:name w:val="Unresolved Mention"/>
    <w:basedOn w:val="DefaultParagraphFont"/>
    <w:uiPriority w:val="99"/>
    <w:semiHidden/>
    <w:unhideWhenUsed/>
    <w:rsid w:val="007E2C4E"/>
    <w:rPr>
      <w:color w:val="605E5C"/>
      <w:shd w:val="clear" w:color="auto" w:fill="E1DFDD"/>
    </w:rPr>
  </w:style>
  <w:style w:type="character" w:styleId="FollowedHyperlink">
    <w:name w:val="FollowedHyperlink"/>
    <w:basedOn w:val="DefaultParagraphFont"/>
    <w:uiPriority w:val="99"/>
    <w:semiHidden/>
    <w:unhideWhenUsed/>
    <w:rsid w:val="007E2C4E"/>
    <w:rPr>
      <w:color w:val="954F72" w:themeColor="followedHyperlink"/>
      <w:u w:val="single"/>
    </w:rPr>
  </w:style>
  <w:style w:type="paragraph" w:styleId="ListParagraph">
    <w:name w:val="List Paragraph"/>
    <w:basedOn w:val="Normal"/>
    <w:uiPriority w:val="34"/>
    <w:qFormat/>
    <w:rsid w:val="000643FA"/>
    <w:pPr>
      <w:ind w:left="720"/>
      <w:contextualSpacing/>
    </w:pPr>
    <w:rPr>
      <w:rFonts w:ascii="Times New Roman" w:eastAsia="SimSun" w:hAnsi="Times New Roman" w:cs="Times New Roman"/>
      <w:sz w:val="24"/>
      <w:lang w:eastAsia="zh-CN"/>
    </w:rPr>
  </w:style>
  <w:style w:type="paragraph" w:customStyle="1" w:styleId="paragraph">
    <w:name w:val="paragraph"/>
    <w:basedOn w:val="Normal"/>
    <w:rsid w:val="006049C0"/>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6049C0"/>
  </w:style>
  <w:style w:type="character" w:customStyle="1" w:styleId="eop">
    <w:name w:val="eop"/>
    <w:basedOn w:val="DefaultParagraphFont"/>
    <w:rsid w:val="00604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383271">
      <w:bodyDiv w:val="1"/>
      <w:marLeft w:val="0"/>
      <w:marRight w:val="0"/>
      <w:marTop w:val="0"/>
      <w:marBottom w:val="0"/>
      <w:divBdr>
        <w:top w:val="none" w:sz="0" w:space="0" w:color="auto"/>
        <w:left w:val="none" w:sz="0" w:space="0" w:color="auto"/>
        <w:bottom w:val="none" w:sz="0" w:space="0" w:color="auto"/>
        <w:right w:val="none" w:sz="0" w:space="0" w:color="auto"/>
      </w:divBdr>
    </w:div>
    <w:div w:id="1014306608">
      <w:bodyDiv w:val="1"/>
      <w:marLeft w:val="0"/>
      <w:marRight w:val="0"/>
      <w:marTop w:val="0"/>
      <w:marBottom w:val="0"/>
      <w:divBdr>
        <w:top w:val="none" w:sz="0" w:space="0" w:color="auto"/>
        <w:left w:val="none" w:sz="0" w:space="0" w:color="auto"/>
        <w:bottom w:val="none" w:sz="0" w:space="0" w:color="auto"/>
        <w:right w:val="none" w:sz="0" w:space="0" w:color="auto"/>
      </w:divBdr>
    </w:div>
    <w:div w:id="1074932329">
      <w:bodyDiv w:val="1"/>
      <w:marLeft w:val="0"/>
      <w:marRight w:val="0"/>
      <w:marTop w:val="0"/>
      <w:marBottom w:val="0"/>
      <w:divBdr>
        <w:top w:val="none" w:sz="0" w:space="0" w:color="auto"/>
        <w:left w:val="none" w:sz="0" w:space="0" w:color="auto"/>
        <w:bottom w:val="none" w:sz="0" w:space="0" w:color="auto"/>
        <w:right w:val="none" w:sz="0" w:space="0" w:color="auto"/>
      </w:divBdr>
      <w:divsChild>
        <w:div w:id="132836303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37639841">
              <w:marLeft w:val="0"/>
              <w:marRight w:val="0"/>
              <w:marTop w:val="0"/>
              <w:marBottom w:val="0"/>
              <w:divBdr>
                <w:top w:val="none" w:sz="0" w:space="0" w:color="auto"/>
                <w:left w:val="none" w:sz="0" w:space="0" w:color="auto"/>
                <w:bottom w:val="none" w:sz="0" w:space="0" w:color="auto"/>
                <w:right w:val="none" w:sz="0" w:space="0" w:color="auto"/>
              </w:divBdr>
              <w:divsChild>
                <w:div w:id="1371685842">
                  <w:marLeft w:val="0"/>
                  <w:marRight w:val="0"/>
                  <w:marTop w:val="0"/>
                  <w:marBottom w:val="0"/>
                  <w:divBdr>
                    <w:top w:val="none" w:sz="0" w:space="0" w:color="auto"/>
                    <w:left w:val="none" w:sz="0" w:space="0" w:color="auto"/>
                    <w:bottom w:val="none" w:sz="0" w:space="0" w:color="auto"/>
                    <w:right w:val="none" w:sz="0" w:space="0" w:color="auto"/>
                  </w:divBdr>
                  <w:divsChild>
                    <w:div w:id="40750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433912">
      <w:bodyDiv w:val="1"/>
      <w:marLeft w:val="0"/>
      <w:marRight w:val="0"/>
      <w:marTop w:val="0"/>
      <w:marBottom w:val="0"/>
      <w:divBdr>
        <w:top w:val="none" w:sz="0" w:space="0" w:color="auto"/>
        <w:left w:val="none" w:sz="0" w:space="0" w:color="auto"/>
        <w:bottom w:val="none" w:sz="0" w:space="0" w:color="auto"/>
        <w:right w:val="none" w:sz="0" w:space="0" w:color="auto"/>
      </w:divBdr>
      <w:divsChild>
        <w:div w:id="415596348">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84808275">
              <w:marLeft w:val="0"/>
              <w:marRight w:val="0"/>
              <w:marTop w:val="0"/>
              <w:marBottom w:val="0"/>
              <w:divBdr>
                <w:top w:val="none" w:sz="0" w:space="0" w:color="auto"/>
                <w:left w:val="none" w:sz="0" w:space="0" w:color="auto"/>
                <w:bottom w:val="none" w:sz="0" w:space="0" w:color="auto"/>
                <w:right w:val="none" w:sz="0" w:space="0" w:color="auto"/>
              </w:divBdr>
              <w:divsChild>
                <w:div w:id="1054963570">
                  <w:marLeft w:val="0"/>
                  <w:marRight w:val="0"/>
                  <w:marTop w:val="0"/>
                  <w:marBottom w:val="0"/>
                  <w:divBdr>
                    <w:top w:val="none" w:sz="0" w:space="0" w:color="auto"/>
                    <w:left w:val="none" w:sz="0" w:space="0" w:color="auto"/>
                    <w:bottom w:val="none" w:sz="0" w:space="0" w:color="auto"/>
                    <w:right w:val="none" w:sz="0" w:space="0" w:color="auto"/>
                  </w:divBdr>
                  <w:divsChild>
                    <w:div w:id="21026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076764">
      <w:bodyDiv w:val="1"/>
      <w:marLeft w:val="0"/>
      <w:marRight w:val="0"/>
      <w:marTop w:val="0"/>
      <w:marBottom w:val="0"/>
      <w:divBdr>
        <w:top w:val="none" w:sz="0" w:space="0" w:color="auto"/>
        <w:left w:val="none" w:sz="0" w:space="0" w:color="auto"/>
        <w:bottom w:val="none" w:sz="0" w:space="0" w:color="auto"/>
        <w:right w:val="none" w:sz="0" w:space="0" w:color="auto"/>
      </w:divBdr>
    </w:div>
    <w:div w:id="1835948012">
      <w:bodyDiv w:val="1"/>
      <w:marLeft w:val="0"/>
      <w:marRight w:val="0"/>
      <w:marTop w:val="0"/>
      <w:marBottom w:val="0"/>
      <w:divBdr>
        <w:top w:val="none" w:sz="0" w:space="0" w:color="auto"/>
        <w:left w:val="none" w:sz="0" w:space="0" w:color="auto"/>
        <w:bottom w:val="none" w:sz="0" w:space="0" w:color="auto"/>
        <w:right w:val="none" w:sz="0" w:space="0" w:color="auto"/>
      </w:divBdr>
    </w:div>
    <w:div w:id="1899584634">
      <w:bodyDiv w:val="1"/>
      <w:marLeft w:val="0"/>
      <w:marRight w:val="0"/>
      <w:marTop w:val="0"/>
      <w:marBottom w:val="0"/>
      <w:divBdr>
        <w:top w:val="none" w:sz="0" w:space="0" w:color="auto"/>
        <w:left w:val="none" w:sz="0" w:space="0" w:color="auto"/>
        <w:bottom w:val="none" w:sz="0" w:space="0" w:color="auto"/>
        <w:right w:val="none" w:sz="0" w:space="0" w:color="auto"/>
      </w:divBdr>
    </w:div>
    <w:div w:id="2005010379">
      <w:bodyDiv w:val="1"/>
      <w:marLeft w:val="0"/>
      <w:marRight w:val="0"/>
      <w:marTop w:val="0"/>
      <w:marBottom w:val="0"/>
      <w:divBdr>
        <w:top w:val="none" w:sz="0" w:space="0" w:color="auto"/>
        <w:left w:val="none" w:sz="0" w:space="0" w:color="auto"/>
        <w:bottom w:val="none" w:sz="0" w:space="0" w:color="auto"/>
        <w:right w:val="none" w:sz="0" w:space="0" w:color="auto"/>
      </w:divBdr>
      <w:divsChild>
        <w:div w:id="1620456807">
          <w:marLeft w:val="0"/>
          <w:marRight w:val="0"/>
          <w:marTop w:val="0"/>
          <w:marBottom w:val="0"/>
          <w:divBdr>
            <w:top w:val="none" w:sz="0" w:space="0" w:color="auto"/>
            <w:left w:val="none" w:sz="0" w:space="0" w:color="auto"/>
            <w:bottom w:val="none" w:sz="0" w:space="0" w:color="auto"/>
            <w:right w:val="none" w:sz="0" w:space="0" w:color="auto"/>
          </w:divBdr>
        </w:div>
        <w:div w:id="1375739519">
          <w:marLeft w:val="0"/>
          <w:marRight w:val="0"/>
          <w:marTop w:val="0"/>
          <w:marBottom w:val="0"/>
          <w:divBdr>
            <w:top w:val="none" w:sz="0" w:space="0" w:color="auto"/>
            <w:left w:val="none" w:sz="0" w:space="0" w:color="auto"/>
            <w:bottom w:val="none" w:sz="0" w:space="0" w:color="auto"/>
            <w:right w:val="none" w:sz="0" w:space="0" w:color="auto"/>
          </w:divBdr>
        </w:div>
      </w:divsChild>
    </w:div>
    <w:div w:id="203607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sctv.ca/" TargetMode="External"/><Relationship Id="rId18" Type="http://schemas.openxmlformats.org/officeDocument/2006/relationships/hyperlink" Target="mailto:noemie.galabru@witbe.ne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witbe.net" TargetMode="External"/><Relationship Id="rId17" Type="http://schemas.openxmlformats.org/officeDocument/2006/relationships/hyperlink" Target="mailto:moe@202comms.com" TargetMode="External"/><Relationship Id="rId2" Type="http://schemas.openxmlformats.org/officeDocument/2006/relationships/customXml" Target="../customXml/item2.xml"/><Relationship Id="rId16" Type="http://schemas.openxmlformats.org/officeDocument/2006/relationships/hyperlink" Target="https://www.202comms.com/Witbe/WitboxMSCTV.pn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itbe.net" TargetMode="External"/><Relationship Id="rId5" Type="http://schemas.openxmlformats.org/officeDocument/2006/relationships/styles" Target="styles.xml"/><Relationship Id="rId15" Type="http://schemas.openxmlformats.org/officeDocument/2006/relationships/hyperlink" Target="http://www.202comms.com/Witbe/241022-Witbe-MSCTV.docx" TargetMode="External"/><Relationship Id="rId10" Type="http://schemas.openxmlformats.org/officeDocument/2006/relationships/hyperlink" Target="https://www.witbe.net/" TargetMode="External"/><Relationship Id="rId19" Type="http://schemas.openxmlformats.org/officeDocument/2006/relationships/hyperlink" Target="https://www.witbe.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msctv.c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eate a new document." ma:contentTypeScope="" ma:versionID="e17830476b2d52fbb7fc74cb8df76e8a">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7303603688be2e689809d4edd95ee39d"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77bf0f-24a0-4866-a4b7-c5543808036f">
      <Terms xmlns="http://schemas.microsoft.com/office/infopath/2007/PartnerControls"/>
    </lcf76f155ced4ddcb4097134ff3c332f>
    <TaxCatchAll xmlns="285d8ae4-1610-4ce0-a10a-53c85cf984ee" xsi:nil="true"/>
  </documentManagement>
</p:properties>
</file>

<file path=customXml/itemProps1.xml><?xml version="1.0" encoding="utf-8"?>
<ds:datastoreItem xmlns:ds="http://schemas.openxmlformats.org/officeDocument/2006/customXml" ds:itemID="{6A479344-8B47-4136-8E73-58242EF90C6B}">
  <ds:schemaRefs>
    <ds:schemaRef ds:uri="http://schemas.microsoft.com/sharepoint/v3/contenttype/forms"/>
  </ds:schemaRefs>
</ds:datastoreItem>
</file>

<file path=customXml/itemProps2.xml><?xml version="1.0" encoding="utf-8"?>
<ds:datastoreItem xmlns:ds="http://schemas.openxmlformats.org/officeDocument/2006/customXml" ds:itemID="{259684D1-631E-4329-9058-F0782AAF6245}"/>
</file>

<file path=customXml/itemProps3.xml><?xml version="1.0" encoding="utf-8"?>
<ds:datastoreItem xmlns:ds="http://schemas.openxmlformats.org/officeDocument/2006/customXml" ds:itemID="{EFFAA0E2-4D5D-4DBC-A6B3-7934928CDBD8}">
  <ds:schemaRefs>
    <ds:schemaRef ds:uri="http://schemas.microsoft.com/office/2006/metadata/properties"/>
    <ds:schemaRef ds:uri="http://schemas.microsoft.com/office/infopath/2007/PartnerControls"/>
    <ds:schemaRef ds:uri="08b6ed48-a9b2-4d09-8352-9933fe3f4900"/>
    <ds:schemaRef ds:uri="396e2555-6062-4de9-8c0e-7d9d80615b93"/>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