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09408" w14:textId="4247C9C4">
      <w:pPr>
        <w:tabs>
          <w:tab w:val="left" w:pos="1141"/>
          <w:tab w:val="center" w:pos="3417"/>
        </w:tabs>
        <w:textAlignment w:val="baseline"/>
        <w:rPr>
          <w:rFonts w:ascii="Arial" w:eastAsia="Times New Roman" w:hAnsi="Arial" w:cs="Arial"/>
          <w:b/>
          <w:bCs/>
          <w:sz w:val="32"/>
          <w:szCs w:val="32"/>
        </w:rPr>
      </w:pPr>
      <w:r>
        <w:rPr>
          <w:rFonts w:ascii="Arial" w:eastAsia="Times New Roman" w:hAnsi="Arial" w:cs="Arial"/>
          <w:b/>
          <w:bCs/>
          <w:sz w:val="32"/>
          <w:szCs w:val="32"/>
        </w:rPr>
        <w:tab/>
      </w:r>
      <w:r>
        <w:rPr>
          <w:rFonts w:ascii="Arial" w:eastAsia="Times New Roman" w:hAnsi="Arial" w:cs="Arial"/>
          <w:b/>
          <w:bCs/>
          <w:sz w:val="32"/>
          <w:szCs w:val="32"/>
        </w:rPr>
        <w:tab/>
      </w:r>
    </w:p>
    <w:p w14:paraId="0C2C0517" w14:textId="34AAEE0D">
      <w:pPr>
        <w:jc w:val="center"/>
        <w:textAlignment w:val="baseline"/>
        <w:rPr>
          <w:rFonts w:ascii="Arial" w:eastAsia="Times New Roman" w:hAnsi="Arial" w:cs="Arial"/>
          <w:b/>
          <w:bCs/>
          <w:sz w:val="32"/>
          <w:szCs w:val="32"/>
        </w:rPr>
      </w:pPr>
      <w:r>
        <w:rPr>
          <w:rFonts w:ascii="Arial" w:eastAsia="Times New Roman" w:hAnsi="Arial" w:cs="Arial"/>
          <w:b/>
          <w:bCs/>
          <w:sz w:val="32"/>
          <w:szCs w:val="32"/>
        </w:rPr>
        <w:t>Witbe Joins the Digital TV Group</w:t>
      </w:r>
      <w:r>
        <w:rPr>
          <w:rFonts w:ascii="Arial" w:eastAsia="Times New Roman" w:hAnsi="Arial" w:cs="Arial"/>
          <w:b/>
          <w:bCs/>
          <w:sz w:val="32"/>
          <w:szCs w:val="32"/>
        </w:rPr>
        <w:t xml:space="preserve"> to Share Video Monitoring Expertise with Leading UK Providers</w:t>
      </w:r>
    </w:p>
    <w:p w14:paraId="20CD3A86" w14:textId="77777777">
      <w:pPr>
        <w:jc w:val="center"/>
        <w:textAlignment w:val="baseline"/>
        <w:rPr>
          <w:rFonts w:ascii="Arial" w:eastAsia="Times New Roman" w:hAnsi="Arial" w:cs="Arial"/>
          <w:b/>
          <w:bCs/>
          <w:i/>
          <w:iCs/>
          <w:sz w:val="24"/>
        </w:rPr>
      </w:pPr>
    </w:p>
    <w:p w14:paraId="5F2CDBDD" w14:textId="5F2B2B4E">
      <w:pPr>
        <w:jc w:val="center"/>
        <w:textAlignment w:val="baseline"/>
        <w:rPr>
          <w:rFonts w:ascii="Arial" w:eastAsia="Times New Roman" w:hAnsi="Arial" w:cs="Arial"/>
          <w:b/>
          <w:bCs/>
          <w:i/>
          <w:iCs/>
          <w:sz w:val="24"/>
        </w:rPr>
      </w:pPr>
      <w:r>
        <w:rPr>
          <w:rFonts w:ascii="Arial" w:eastAsia="Times New Roman" w:hAnsi="Arial" w:cs="Arial"/>
          <w:b/>
          <w:bCs/>
          <w:i/>
          <w:iCs/>
          <w:sz w:val="24"/>
        </w:rPr>
        <w:t xml:space="preserve">Company’s </w:t>
      </w:r>
      <w:r>
        <w:rPr>
          <w:rFonts w:ascii="Arial" w:eastAsia="Times New Roman" w:hAnsi="Arial" w:cs="Arial"/>
          <w:b/>
          <w:bCs/>
          <w:i/>
          <w:iCs/>
          <w:sz w:val="24"/>
        </w:rPr>
        <w:t xml:space="preserve">Award-Winning Automated Testing and Monitoring Technology </w:t>
      </w:r>
      <w:r>
        <w:rPr>
          <w:rFonts w:ascii="Arial" w:eastAsia="Times New Roman" w:hAnsi="Arial" w:cs="Arial"/>
          <w:b/>
          <w:bCs/>
          <w:i/>
          <w:iCs/>
          <w:sz w:val="24"/>
        </w:rPr>
        <w:t xml:space="preserve">Used by </w:t>
      </w:r>
      <w:r>
        <w:rPr>
          <w:rFonts w:ascii="Arial" w:eastAsia="Times New Roman" w:hAnsi="Arial" w:cs="Arial"/>
          <w:b/>
          <w:bCs/>
          <w:i/>
          <w:iCs/>
          <w:sz w:val="24"/>
        </w:rPr>
        <w:t>Video Service Providers</w:t>
      </w:r>
      <w:r>
        <w:rPr>
          <w:rFonts w:ascii="Arial" w:eastAsia="Times New Roman" w:hAnsi="Arial" w:cs="Arial"/>
          <w:b/>
          <w:bCs/>
          <w:i/>
          <w:iCs/>
          <w:sz w:val="24"/>
        </w:rPr>
        <w:t xml:space="preserve"> Worldwide, Including Fellow DTG Members</w:t>
      </w:r>
    </w:p>
    <w:p w14:paraId="59A1843D" w14:textId="6B09883A">
      <w:pPr>
        <w:jc w:val="center"/>
        <w:textAlignment w:val="baseline"/>
        <w:rPr>
          <w:rFonts w:ascii="Arial" w:eastAsia="Times New Roman" w:hAnsi="Arial" w:cs="Arial"/>
          <w:b/>
          <w:bCs/>
          <w:i/>
          <w:iCs/>
          <w:sz w:val="24"/>
        </w:rPr>
      </w:pPr>
      <w:r>
        <w:rPr>
          <w:rFonts w:ascii="Arial" w:eastAsia="Times New Roman" w:hAnsi="Arial" w:cs="Arial"/>
          <w:sz w:val="32"/>
          <w:szCs w:val="32"/>
        </w:rPr>
        <w:t> </w:t>
      </w:r>
    </w:p>
    <w:p w14:paraId="5A03CE35" w14:textId="60530FD2">
      <w:pPr>
        <w:spacing w:line="360" w:lineRule="auto"/>
        <w:textAlignment w:val="baseline"/>
        <w:rPr>
          <w:rFonts w:ascii="Arial" w:eastAsia="Times New Roman" w:hAnsi="Arial" w:cs="Arial"/>
          <w:szCs w:val="22"/>
        </w:rPr>
      </w:pPr>
      <w:r>
        <w:rPr>
          <w:rFonts w:ascii="Arial" w:eastAsia="Times New Roman" w:hAnsi="Arial" w:cs="Arial"/>
          <w:b/>
          <w:bCs/>
          <w:szCs w:val="22"/>
        </w:rPr>
        <w:t xml:space="preserve">NEW YORK — </w:t>
      </w:r>
      <w:r>
        <w:rPr>
          <w:rFonts w:ascii="Arial" w:eastAsia="Times New Roman" w:hAnsi="Arial" w:cs="Arial"/>
          <w:b/>
          <w:bCs/>
          <w:szCs w:val="22"/>
        </w:rPr>
        <w:t>Jan</w:t>
      </w:r>
      <w:r>
        <w:rPr>
          <w:rFonts w:ascii="Arial" w:eastAsia="Times New Roman" w:hAnsi="Arial" w:cs="Arial"/>
          <w:b/>
          <w:bCs/>
          <w:szCs w:val="22"/>
        </w:rPr>
        <w:t xml:space="preserve">. </w:t>
      </w:r>
      <w:r>
        <w:rPr>
          <w:rFonts w:ascii="Arial" w:eastAsia="Times New Roman" w:hAnsi="Arial" w:cs="Arial"/>
          <w:b/>
          <w:bCs/>
          <w:szCs w:val="22"/>
        </w:rPr>
        <w:t>15</w:t>
      </w:r>
      <w:r>
        <w:rPr>
          <w:rFonts w:ascii="Arial" w:eastAsia="Times New Roman" w:hAnsi="Arial" w:cs="Arial"/>
          <w:b/>
          <w:bCs/>
          <w:szCs w:val="22"/>
        </w:rPr>
        <w:t>, 202</w:t>
      </w:r>
      <w:r>
        <w:rPr>
          <w:rFonts w:ascii="Arial" w:eastAsia="Times New Roman" w:hAnsi="Arial" w:cs="Arial"/>
          <w:b/>
          <w:bCs/>
          <w:szCs w:val="22"/>
        </w:rPr>
        <w:t>5</w:t>
      </w:r>
      <w:r>
        <w:rPr>
          <w:rFonts w:ascii="Arial" w:eastAsia="Times New Roman" w:hAnsi="Arial" w:cs="Arial"/>
          <w:szCs w:val="22"/>
        </w:rPr>
        <w:t xml:space="preserve"> </w:t>
      </w:r>
      <w:r>
        <w:rPr>
          <w:rFonts w:ascii="Arial" w:eastAsia="Times New Roman" w:hAnsi="Arial" w:cs="Arial"/>
          <w:b/>
          <w:bCs/>
          <w:szCs w:val="22"/>
        </w:rPr>
        <w:t xml:space="preserve">— </w:t>
      </w:r>
      <w:r>
        <w:rPr>
          <w:rFonts w:ascii="Arial" w:eastAsia="Times New Roman" w:hAnsi="Arial" w:cs="Arial"/>
          <w:szCs w:val="22"/>
        </w:rPr>
        <w:t xml:space="preserve">Witbe (Euronext Growth – FR0013143872 – ALWIT), a global leader in test automation and monitoring technology for video service providers, today announced </w:t>
      </w:r>
      <w:r>
        <w:rPr>
          <w:rFonts w:ascii="Arial" w:eastAsia="Times New Roman" w:hAnsi="Arial" w:cs="Arial"/>
          <w:szCs w:val="22"/>
        </w:rPr>
        <w:t>that it has joined</w:t>
      </w:r>
      <w:r>
        <w:rPr>
          <w:rFonts w:ascii="Arial" w:eastAsia="Times New Roman" w:hAnsi="Arial" w:cs="Arial"/>
          <w:szCs w:val="22"/>
        </w:rPr>
        <w:t xml:space="preserve"> the</w:t>
      </w:r>
      <w:r>
        <w:rPr>
          <w:rFonts w:ascii="Arial" w:eastAsia="Times New Roman" w:hAnsi="Arial" w:cs="Arial"/>
          <w:szCs w:val="22"/>
        </w:rPr>
        <w:t xml:space="preserve"> Digital TV Group (DTG</w:t>
      </w:r>
      <w:r>
        <w:rPr>
          <w:rFonts w:ascii="Arial" w:eastAsia="Times New Roman" w:hAnsi="Arial" w:cs="Arial"/>
          <w:szCs w:val="22"/>
        </w:rPr>
        <w:t xml:space="preserve">), the </w:t>
      </w:r>
      <w:r>
        <w:rPr>
          <w:rFonts w:ascii="Arial" w:hAnsi="Arial" w:cs="Arial"/>
          <w:szCs w:val="22"/>
        </w:rPr>
        <w:t>UK-based industry association</w:t>
      </w:r>
      <w:r>
        <w:rPr>
          <w:rFonts w:ascii="Arial" w:hAnsi="Arial" w:cs="Arial"/>
          <w:szCs w:val="22"/>
          <w:shd w:val="clear" w:color="auto" w:fill="FFFFFF"/>
        </w:rPr>
        <w:t xml:space="preserve"> </w:t>
      </w:r>
      <w:r>
        <w:rPr>
          <w:rFonts w:ascii="Arial" w:hAnsi="Arial" w:cs="Arial"/>
          <w:szCs w:val="22"/>
        </w:rPr>
        <w:t>focus</w:t>
      </w:r>
      <w:r>
        <w:rPr>
          <w:rFonts w:ascii="Arial" w:hAnsi="Arial" w:cs="Arial"/>
          <w:szCs w:val="22"/>
        </w:rPr>
        <w:t>ed</w:t>
      </w:r>
      <w:r>
        <w:rPr>
          <w:rFonts w:ascii="Arial" w:hAnsi="Arial" w:cs="Arial"/>
          <w:szCs w:val="22"/>
        </w:rPr>
        <w:t xml:space="preserve"> on the innovation, development, and promotion of digital television and </w:t>
      </w:r>
      <w:r>
        <w:rPr>
          <w:rFonts w:ascii="Arial" w:hAnsi="Arial" w:cs="Arial"/>
          <w:szCs w:val="22"/>
          <w:shd w:val="clear" w:color="auto" w:fill="FFFFFF"/>
        </w:rPr>
        <w:t>media technolog</w:t>
      </w:r>
      <w:r>
        <w:rPr>
          <w:rFonts w:ascii="Arial" w:hAnsi="Arial" w:cs="Arial"/>
          <w:szCs w:val="22"/>
          <w:shd w:val="clear" w:color="auto" w:fill="FFFFFF"/>
        </w:rPr>
        <w:t>ies</w:t>
      </w:r>
      <w:r>
        <w:rPr>
          <w:rFonts w:ascii="Arial" w:hAnsi="Arial" w:cs="Arial"/>
          <w:szCs w:val="22"/>
          <w:shd w:val="clear" w:color="auto" w:fill="FFFFFF"/>
        </w:rPr>
        <w:t xml:space="preserve">. </w:t>
      </w:r>
      <w:r>
        <w:rPr>
          <w:rFonts w:ascii="Arial" w:eastAsia="Times New Roman" w:hAnsi="Arial" w:cs="Arial"/>
          <w:szCs w:val="22"/>
        </w:rPr>
        <w:t>DTG</w:t>
      </w:r>
      <w:r>
        <w:rPr>
          <w:rFonts w:ascii="Arial" w:eastAsia="Times New Roman" w:hAnsi="Arial" w:cs="Arial"/>
          <w:szCs w:val="22"/>
        </w:rPr>
        <w:t xml:space="preserve"> has driven digital TV innovation in the UK for over 25 years, helping its members efficiently deliver video services </w:t>
      </w:r>
      <w:r>
        <w:rPr>
          <w:rFonts w:ascii="Arial" w:eastAsia="Times New Roman" w:hAnsi="Arial" w:cs="Arial"/>
          <w:szCs w:val="22"/>
        </w:rPr>
        <w:t xml:space="preserve">across all screens, devices, and formats. </w:t>
      </w:r>
      <w:r>
        <w:rPr>
          <w:rFonts w:ascii="Arial" w:eastAsia="Times New Roman" w:hAnsi="Arial" w:cs="Arial"/>
          <w:szCs w:val="22"/>
        </w:rPr>
        <w:t>DTG’s</w:t>
      </w:r>
      <w:r>
        <w:rPr>
          <w:rFonts w:ascii="Arial" w:eastAsia="Times New Roman" w:hAnsi="Arial" w:cs="Arial"/>
          <w:szCs w:val="22"/>
        </w:rPr>
        <w:t xml:space="preserve"> mission is aligned with Witbe’s dedicated approach to testing and monitoring video</w:t>
      </w:r>
      <w:r>
        <w:rPr>
          <w:rFonts w:ascii="Arial" w:eastAsia="Times New Roman" w:hAnsi="Arial" w:cs="Arial"/>
          <w:szCs w:val="22"/>
        </w:rPr>
        <w:t xml:space="preserve"> </w:t>
      </w:r>
      <w:r>
        <w:rPr>
          <w:rFonts w:ascii="Arial" w:eastAsia="Times New Roman" w:hAnsi="Arial" w:cs="Arial"/>
          <w:szCs w:val="22"/>
        </w:rPr>
        <w:t>on real devices, measuring the true quality that is delivered to viewers</w:t>
      </w:r>
      <w:r>
        <w:rPr>
          <w:rFonts w:ascii="Arial" w:eastAsia="Times New Roman" w:hAnsi="Arial" w:cs="Arial"/>
          <w:szCs w:val="22"/>
        </w:rPr>
        <w:t xml:space="preserve"> at home and on the go</w:t>
      </w:r>
      <w:r>
        <w:rPr>
          <w:rFonts w:ascii="Arial" w:eastAsia="Times New Roman" w:hAnsi="Arial" w:cs="Arial"/>
          <w:szCs w:val="22"/>
        </w:rPr>
        <w:t>.</w:t>
      </w:r>
    </w:p>
    <w:p w14:paraId="075285A2" w14:textId="77777777">
      <w:pPr>
        <w:spacing w:line="360" w:lineRule="auto"/>
        <w:textAlignment w:val="baseline"/>
        <w:rPr>
          <w:rFonts w:ascii="Arial" w:eastAsia="Times New Roman" w:hAnsi="Arial" w:cs="Arial"/>
          <w:szCs w:val="22"/>
        </w:rPr>
      </w:pPr>
    </w:p>
    <w:p w14:paraId="5B6349E7" w14:textId="6D92D768">
      <w:pPr>
        <w:spacing w:line="360" w:lineRule="auto"/>
        <w:textAlignment w:val="baseline"/>
        <w:rPr>
          <w:rFonts w:ascii="Arial" w:eastAsia="Times New Roman" w:hAnsi="Arial" w:cs="Arial"/>
          <w:szCs w:val="22"/>
        </w:rPr>
      </w:pPr>
      <w:r>
        <w:rPr>
          <w:rFonts w:ascii="Arial" w:eastAsia="Times New Roman" w:hAnsi="Arial" w:cs="Arial"/>
          <w:szCs w:val="22"/>
        </w:rPr>
        <w:t>“We are delighted to welcome Witbe as a new member of the Digital TV Group,” said DTG CEO Richard Lindsay-Davies. “Their expertise in test automation and monitoring aligns perfectly with our mission to support innovation and excellence in UK TV delivery. At a time when the industry is navigating significant transformation, we look forward to collaborating with Witbe to ensure exceptional viewer experiences and drive value for our organizations and the wider ecosystem</w:t>
      </w:r>
      <w:r>
        <w:rPr>
          <w:rFonts w:ascii="Arial" w:eastAsia="Times New Roman" w:hAnsi="Arial" w:cs="Arial"/>
          <w:szCs w:val="22"/>
        </w:rPr>
        <w:t xml:space="preserve"> </w:t>
      </w:r>
      <w:r>
        <w:rPr>
          <w:rFonts w:ascii="Arial" w:eastAsia="Times New Roman" w:hAnsi="Arial" w:cs="Arial"/>
          <w:szCs w:val="22"/>
        </w:rPr>
        <w:t>as we work to shape the future of TV in the UK."</w:t>
      </w:r>
    </w:p>
    <w:p w14:paraId="1790E131" w14:textId="77777777">
      <w:pPr>
        <w:spacing w:line="360" w:lineRule="auto"/>
        <w:textAlignment w:val="baseline"/>
        <w:rPr>
          <w:rFonts w:ascii="Arial" w:eastAsia="Times New Roman" w:hAnsi="Arial" w:cs="Arial"/>
          <w:szCs w:val="22"/>
        </w:rPr>
      </w:pPr>
    </w:p>
    <w:p w14:paraId="410D1B65" w14:textId="27A50C7C">
      <w:pPr>
        <w:spacing w:line="360" w:lineRule="auto"/>
        <w:textAlignment w:val="baseline"/>
        <w:rPr>
          <w:rFonts w:ascii="Arial" w:eastAsia="Times New Roman" w:hAnsi="Arial" w:cs="Arial"/>
          <w:szCs w:val="22"/>
        </w:rPr>
      </w:pPr>
      <w:r>
        <w:rPr>
          <w:rFonts w:ascii="Arial" w:eastAsia="Times New Roman" w:hAnsi="Arial" w:cs="Arial"/>
          <w:szCs w:val="22"/>
        </w:rPr>
        <w:t xml:space="preserve">As a DTG member, Witbe </w:t>
      </w:r>
      <w:r>
        <w:rPr>
          <w:rFonts w:ascii="Arial" w:eastAsia="Times New Roman" w:hAnsi="Arial" w:cs="Arial"/>
          <w:szCs w:val="22"/>
        </w:rPr>
        <w:t>will share its</w:t>
      </w:r>
      <w:r>
        <w:rPr>
          <w:rFonts w:ascii="Arial" w:eastAsia="Times New Roman" w:hAnsi="Arial" w:cs="Arial"/>
          <w:szCs w:val="22"/>
        </w:rPr>
        <w:t xml:space="preserve"> substantial</w:t>
      </w:r>
      <w:r>
        <w:rPr>
          <w:rFonts w:ascii="Arial" w:eastAsia="Times New Roman" w:hAnsi="Arial" w:cs="Arial"/>
          <w:szCs w:val="22"/>
        </w:rPr>
        <w:t xml:space="preserve"> industry expertise </w:t>
      </w:r>
      <w:r>
        <w:rPr>
          <w:rFonts w:ascii="Arial" w:eastAsia="Times New Roman" w:hAnsi="Arial" w:cs="Arial"/>
          <w:szCs w:val="22"/>
        </w:rPr>
        <w:t xml:space="preserve">as </w:t>
      </w:r>
      <w:r>
        <w:rPr>
          <w:rFonts w:ascii="Arial" w:eastAsia="Times New Roman" w:hAnsi="Arial" w:cs="Arial"/>
          <w:szCs w:val="22"/>
        </w:rPr>
        <w:t>the company</w:t>
      </w:r>
      <w:r>
        <w:rPr>
          <w:rFonts w:ascii="Arial" w:eastAsia="Times New Roman" w:hAnsi="Arial" w:cs="Arial"/>
          <w:szCs w:val="22"/>
        </w:rPr>
        <w:t xml:space="preserve"> looks to strengthen </w:t>
      </w:r>
      <w:r>
        <w:rPr>
          <w:rFonts w:ascii="Arial" w:eastAsia="Times New Roman" w:hAnsi="Arial" w:cs="Arial"/>
          <w:szCs w:val="22"/>
        </w:rPr>
        <w:t>i</w:t>
      </w:r>
      <w:r>
        <w:rPr>
          <w:rFonts w:ascii="Arial" w:eastAsia="Times New Roman" w:hAnsi="Arial" w:cs="Arial"/>
          <w:szCs w:val="22"/>
        </w:rPr>
        <w:t xml:space="preserve">ts </w:t>
      </w:r>
      <w:r>
        <w:rPr>
          <w:rFonts w:ascii="Arial" w:eastAsia="Times New Roman" w:hAnsi="Arial" w:cs="Arial"/>
          <w:szCs w:val="22"/>
        </w:rPr>
        <w:t xml:space="preserve">presence in </w:t>
      </w:r>
      <w:r>
        <w:rPr>
          <w:rFonts w:ascii="Arial" w:eastAsia="Times New Roman" w:hAnsi="Arial" w:cs="Arial"/>
          <w:szCs w:val="22"/>
        </w:rPr>
        <w:t xml:space="preserve">the UK market. </w:t>
      </w:r>
      <w:r>
        <w:rPr>
          <w:rFonts w:ascii="Arial" w:eastAsia="Times New Roman" w:hAnsi="Arial" w:cs="Arial"/>
          <w:szCs w:val="22"/>
        </w:rPr>
        <w:t>Witbe’s</w:t>
      </w:r>
      <w:r>
        <w:rPr>
          <w:rFonts w:ascii="Arial" w:eastAsia="Times New Roman" w:hAnsi="Arial" w:cs="Arial"/>
          <w:szCs w:val="22"/>
        </w:rPr>
        <w:t xml:space="preserve"> </w:t>
      </w:r>
      <w:r>
        <w:rPr>
          <w:rFonts w:ascii="Arial" w:eastAsia="Times New Roman" w:hAnsi="Arial" w:cs="Arial"/>
          <w:szCs w:val="22"/>
        </w:rPr>
        <w:t>technology is used by major video service providers</w:t>
      </w:r>
      <w:r>
        <w:rPr>
          <w:rFonts w:ascii="Arial" w:eastAsia="Times New Roman" w:hAnsi="Arial" w:cs="Arial"/>
          <w:szCs w:val="22"/>
        </w:rPr>
        <w:t xml:space="preserve"> worldwide</w:t>
      </w:r>
      <w:r>
        <w:rPr>
          <w:rFonts w:ascii="Arial" w:eastAsia="Times New Roman" w:hAnsi="Arial" w:cs="Arial"/>
          <w:szCs w:val="22"/>
        </w:rPr>
        <w:t xml:space="preserve">, including DTG member Channel Four Television Corporation. Witbe recently updated its innovative Remote Eye Controller </w:t>
      </w:r>
      <w:r>
        <w:rPr>
          <w:rFonts w:ascii="Arial" w:eastAsia="Times New Roman" w:hAnsi="Arial" w:cs="Arial"/>
          <w:szCs w:val="22"/>
        </w:rPr>
        <w:t xml:space="preserve">(REC) </w:t>
      </w:r>
      <w:r>
        <w:rPr>
          <w:rFonts w:ascii="Arial" w:eastAsia="Times New Roman" w:hAnsi="Arial" w:cs="Arial"/>
          <w:szCs w:val="22"/>
        </w:rPr>
        <w:t>application, a virtual Network Operations Center (NOC), to make it even easier for</w:t>
      </w:r>
      <w:r>
        <w:rPr>
          <w:rFonts w:ascii="Arial" w:eastAsia="Times New Roman" w:hAnsi="Arial" w:cs="Arial"/>
          <w:szCs w:val="22"/>
        </w:rPr>
        <w:t xml:space="preserve"> video</w:t>
      </w:r>
      <w:r>
        <w:rPr>
          <w:rFonts w:ascii="Arial" w:eastAsia="Times New Roman" w:hAnsi="Arial" w:cs="Arial"/>
          <w:szCs w:val="22"/>
        </w:rPr>
        <w:t xml:space="preserve"> </w:t>
      </w:r>
      <w:r>
        <w:rPr>
          <w:rFonts w:ascii="Arial" w:eastAsia="Times New Roman" w:hAnsi="Arial" w:cs="Arial"/>
          <w:szCs w:val="22"/>
        </w:rPr>
        <w:t xml:space="preserve">service </w:t>
      </w:r>
      <w:r>
        <w:rPr>
          <w:rFonts w:ascii="Arial" w:eastAsia="Times New Roman" w:hAnsi="Arial" w:cs="Arial"/>
          <w:szCs w:val="22"/>
        </w:rPr>
        <w:t>providers to remotely access and control</w:t>
      </w:r>
      <w:r>
        <w:rPr>
          <w:rFonts w:ascii="Arial" w:eastAsia="Times New Roman" w:hAnsi="Arial" w:cs="Arial"/>
          <w:szCs w:val="22"/>
        </w:rPr>
        <w:t xml:space="preserve"> </w:t>
      </w:r>
      <w:r>
        <w:rPr>
          <w:rFonts w:ascii="Arial" w:eastAsia="Times New Roman" w:hAnsi="Arial" w:cs="Arial"/>
          <w:szCs w:val="22"/>
        </w:rPr>
        <w:t>real testing devices from any web browser.</w:t>
      </w:r>
      <w:r>
        <w:rPr>
          <w:rFonts w:ascii="Arial" w:eastAsia="Times New Roman" w:hAnsi="Arial" w:cs="Arial"/>
          <w:szCs w:val="22"/>
        </w:rPr>
        <w:t xml:space="preserve"> With the REC, teams can verify and resolve streaming errors faster than ever before</w:t>
      </w:r>
      <w:r>
        <w:rPr>
          <w:rFonts w:ascii="Arial" w:eastAsia="Times New Roman" w:hAnsi="Arial" w:cs="Arial"/>
          <w:szCs w:val="22"/>
        </w:rPr>
        <w:t>, from anywhere in the world.</w:t>
      </w:r>
    </w:p>
    <w:p w14:paraId="2D4752AA" w14:textId="77777777">
      <w:pPr>
        <w:spacing w:line="360" w:lineRule="auto"/>
        <w:textAlignment w:val="baseline"/>
        <w:rPr>
          <w:rFonts w:ascii="Arial" w:eastAsia="Times New Roman" w:hAnsi="Arial" w:cs="Arial"/>
          <w:szCs w:val="22"/>
        </w:rPr>
      </w:pPr>
    </w:p>
    <w:p w14:paraId="09DFF449" w14:textId="468ADC15">
      <w:pPr>
        <w:spacing w:line="360" w:lineRule="auto"/>
        <w:textAlignment w:val="baseline"/>
        <w:rPr>
          <w:rFonts w:ascii="Arial" w:eastAsia="Times New Roman" w:hAnsi="Arial" w:cs="Arial"/>
          <w:szCs w:val="22"/>
        </w:rPr>
      </w:pPr>
      <w:r>
        <w:rPr>
          <w:rFonts w:ascii="Arial" w:eastAsia="Times New Roman" w:hAnsi="Arial" w:cs="Arial"/>
          <w:szCs w:val="22"/>
        </w:rPr>
        <w:t>“We are pleased to be joining the Digital TV Group,” commented Mathieu Planche, Witbe’s CEO. “</w:t>
      </w:r>
      <w:r>
        <w:rPr>
          <w:rFonts w:ascii="Arial" w:eastAsia="Times New Roman" w:hAnsi="Arial" w:cs="Arial"/>
          <w:szCs w:val="22"/>
        </w:rPr>
        <w:t xml:space="preserve">DTG’s commitment to collaboration and testing in the UK </w:t>
      </w:r>
      <w:r>
        <w:rPr>
          <w:rFonts w:ascii="Arial" w:eastAsia="Times New Roman" w:hAnsi="Arial" w:cs="Arial"/>
          <w:szCs w:val="22"/>
        </w:rPr>
        <w:t>television</w:t>
      </w:r>
      <w:r>
        <w:rPr>
          <w:rFonts w:ascii="Arial" w:eastAsia="Times New Roman" w:hAnsi="Arial" w:cs="Arial"/>
          <w:szCs w:val="22"/>
        </w:rPr>
        <w:t xml:space="preserve"> industry is perfectly aligned with </w:t>
      </w:r>
      <w:r>
        <w:rPr>
          <w:rFonts w:ascii="Arial" w:eastAsia="Times New Roman" w:hAnsi="Arial" w:cs="Arial"/>
          <w:szCs w:val="22"/>
        </w:rPr>
        <w:t xml:space="preserve">the core principles of </w:t>
      </w:r>
      <w:r>
        <w:rPr>
          <w:rFonts w:ascii="Arial" w:eastAsia="Times New Roman" w:hAnsi="Arial" w:cs="Arial"/>
          <w:szCs w:val="22"/>
        </w:rPr>
        <w:t xml:space="preserve">Witbe’s technology. As </w:t>
      </w:r>
      <w:r>
        <w:rPr>
          <w:rFonts w:ascii="Arial" w:eastAsia="Times New Roman" w:hAnsi="Arial" w:cs="Arial"/>
          <w:szCs w:val="22"/>
        </w:rPr>
        <w:t xml:space="preserve">a </w:t>
      </w:r>
      <w:r>
        <w:rPr>
          <w:rFonts w:ascii="Arial" w:eastAsia="Times New Roman" w:hAnsi="Arial" w:cs="Arial"/>
          <w:szCs w:val="22"/>
        </w:rPr>
        <w:t xml:space="preserve">new DTG member, we are excited to participate in talks about the future of UK </w:t>
      </w:r>
      <w:r>
        <w:rPr>
          <w:rFonts w:ascii="Arial" w:eastAsia="Times New Roman" w:hAnsi="Arial" w:cs="Arial"/>
          <w:szCs w:val="22"/>
        </w:rPr>
        <w:t>streaming, collaborate with fellow members,</w:t>
      </w:r>
      <w:r>
        <w:rPr>
          <w:rFonts w:ascii="Arial" w:eastAsia="Times New Roman" w:hAnsi="Arial" w:cs="Arial"/>
          <w:szCs w:val="22"/>
        </w:rPr>
        <w:t xml:space="preserve"> and </w:t>
      </w:r>
      <w:r>
        <w:rPr>
          <w:rFonts w:ascii="Arial" w:eastAsia="Times New Roman" w:hAnsi="Arial" w:cs="Arial"/>
          <w:szCs w:val="22"/>
        </w:rPr>
        <w:lastRenderedPageBreak/>
        <w:t xml:space="preserve">share our </w:t>
      </w:r>
      <w:r>
        <w:rPr>
          <w:rFonts w:ascii="Arial" w:eastAsia="Times New Roman" w:hAnsi="Arial" w:cs="Arial"/>
          <w:szCs w:val="22"/>
        </w:rPr>
        <w:t xml:space="preserve">vast </w:t>
      </w:r>
      <w:r>
        <w:rPr>
          <w:rFonts w:ascii="Arial" w:eastAsia="Times New Roman" w:hAnsi="Arial" w:cs="Arial"/>
          <w:szCs w:val="22"/>
        </w:rPr>
        <w:t xml:space="preserve">expertise shaped by over </w:t>
      </w:r>
      <w:r>
        <w:rPr>
          <w:rFonts w:ascii="Arial" w:eastAsia="Times New Roman" w:hAnsi="Arial" w:cs="Arial"/>
          <w:szCs w:val="22"/>
        </w:rPr>
        <w:t>20</w:t>
      </w:r>
      <w:r>
        <w:rPr>
          <w:rFonts w:ascii="Arial" w:eastAsia="Times New Roman" w:hAnsi="Arial" w:cs="Arial"/>
          <w:szCs w:val="22"/>
        </w:rPr>
        <w:t xml:space="preserve"> years of </w:t>
      </w:r>
      <w:r>
        <w:rPr>
          <w:rFonts w:ascii="Arial" w:eastAsia="Times New Roman" w:hAnsi="Arial" w:cs="Arial"/>
          <w:szCs w:val="22"/>
        </w:rPr>
        <w:t xml:space="preserve">working with providers to </w:t>
      </w:r>
      <w:r>
        <w:rPr>
          <w:rFonts w:ascii="Arial" w:eastAsia="Times New Roman" w:hAnsi="Arial" w:cs="Arial"/>
          <w:szCs w:val="22"/>
        </w:rPr>
        <w:t xml:space="preserve">test </w:t>
      </w:r>
      <w:r>
        <w:rPr>
          <w:rFonts w:ascii="Arial" w:eastAsia="Times New Roman" w:hAnsi="Arial" w:cs="Arial"/>
          <w:szCs w:val="22"/>
        </w:rPr>
        <w:t>and monitor their services on real devices and networks.”</w:t>
      </w:r>
    </w:p>
    <w:p w14:paraId="4FE92DDA" w14:textId="77777777">
      <w:pPr>
        <w:spacing w:line="360" w:lineRule="auto"/>
        <w:textAlignment w:val="baseline"/>
        <w:rPr>
          <w:rFonts w:ascii="Arial" w:eastAsia="Times New Roman" w:hAnsi="Arial" w:cs="Arial"/>
          <w:szCs w:val="22"/>
        </w:rPr>
      </w:pPr>
    </w:p>
    <w:p w14:paraId="09A0F695" w14:textId="05E3DB23">
      <w:pPr>
        <w:spacing w:line="360" w:lineRule="auto"/>
        <w:textAlignment w:val="baseline"/>
        <w:rPr>
          <w:rFonts w:ascii="Arial" w:eastAsia="Times New Roman" w:hAnsi="Arial" w:cs="Arial"/>
          <w:szCs w:val="22"/>
        </w:rPr>
      </w:pPr>
      <w:r>
        <w:rPr>
          <w:rFonts w:ascii="Arial" w:eastAsia="Times New Roman" w:hAnsi="Arial" w:cs="Arial"/>
          <w:szCs w:val="22"/>
        </w:rPr>
        <w:t xml:space="preserve">Additional information about Witbe’s automated testing and monitoring technology is available at </w:t>
      </w:r>
      <w:hyperlink r:id="rId10" w:history="1">
        <w:r>
          <w:rPr>
            <w:rStyle w:val="Hyperlink"/>
            <w:rFonts w:ascii="Arial" w:eastAsia="Times New Roman" w:hAnsi="Arial" w:cs="Arial"/>
            <w:szCs w:val="22"/>
          </w:rPr>
          <w:t>www.witbe.net</w:t>
        </w:r>
      </w:hyperlink>
      <w:r>
        <w:rPr>
          <w:rFonts w:ascii="Arial" w:eastAsia="Times New Roman" w:hAnsi="Arial" w:cs="Arial"/>
          <w:szCs w:val="22"/>
        </w:rPr>
        <w:t>.</w:t>
      </w:r>
    </w:p>
    <w:p w14:paraId="20E3DE38" w14:textId="77777777">
      <w:pPr>
        <w:spacing w:line="360" w:lineRule="auto"/>
        <w:textAlignment w:val="baseline"/>
        <w:rPr>
          <w:rFonts w:ascii="Arial" w:eastAsia="Times New Roman" w:hAnsi="Arial" w:cs="Arial"/>
          <w:szCs w:val="22"/>
        </w:rPr>
      </w:pPr>
    </w:p>
    <w:p w14:paraId="1906A7F1" w14:textId="77F69FC4">
      <w:pPr>
        <w:spacing w:line="360" w:lineRule="auto"/>
        <w:jc w:val="center"/>
        <w:textAlignment w:val="baseline"/>
        <w:rPr>
          <w:rFonts w:ascii="Arial" w:eastAsia="Arial" w:hAnsi="Arial" w:cs="Arial"/>
          <w:b/>
          <w:bCs/>
          <w:color w:val="000000" w:themeColor="text1"/>
          <w:szCs w:val="22"/>
        </w:rPr>
      </w:pPr>
      <w:r>
        <w:rPr>
          <w:rFonts w:ascii="Arial" w:eastAsia="Times New Roman" w:hAnsi="Arial" w:cs="Arial"/>
          <w:szCs w:val="22"/>
        </w:rPr>
        <w:t>###</w:t>
      </w:r>
    </w:p>
    <w:p w14:paraId="04F8B28F" w14:textId="176A2045">
      <w:pPr>
        <w:spacing w:line="360" w:lineRule="auto"/>
        <w:textAlignment w:val="baseline"/>
        <w:rPr>
          <w:rFonts w:ascii="Arial" w:eastAsia="Times New Roman" w:hAnsi="Arial" w:cs="Arial"/>
          <w:szCs w:val="22"/>
        </w:rPr>
      </w:pPr>
    </w:p>
    <w:p w14:paraId="1F56E621" w14:textId="77777777">
      <w:pPr>
        <w:textAlignment w:val="baseline"/>
        <w:rPr>
          <w:rFonts w:ascii="Arial" w:eastAsia="Times New Roman" w:hAnsi="Arial" w:cs="Arial"/>
          <w:b/>
          <w:bCs/>
          <w:sz w:val="20"/>
          <w:szCs w:val="20"/>
        </w:rPr>
      </w:pPr>
      <w:r>
        <w:rPr>
          <w:rFonts w:ascii="Arial" w:eastAsia="Times New Roman" w:hAnsi="Arial" w:cs="Arial"/>
          <w:b/>
          <w:bCs/>
          <w:sz w:val="20"/>
          <w:szCs w:val="20"/>
        </w:rPr>
        <w:t>About Witbe (</w:t>
      </w:r>
      <w:hyperlink r:id="rId11" w:history="1">
        <w:r>
          <w:rPr>
            <w:rStyle w:val="Hyperlink"/>
            <w:rFonts w:ascii="Arial" w:eastAsia="Times New Roman" w:hAnsi="Arial" w:cs="Arial"/>
            <w:b/>
            <w:bCs/>
            <w:sz w:val="20"/>
            <w:szCs w:val="20"/>
          </w:rPr>
          <w:t>www.witbe.net</w:t>
        </w:r>
      </w:hyperlink>
      <w:r>
        <w:rPr>
          <w:rFonts w:ascii="Arial" w:eastAsia="Times New Roman" w:hAnsi="Arial" w:cs="Arial"/>
          <w:b/>
          <w:bCs/>
          <w:sz w:val="20"/>
          <w:szCs w:val="20"/>
        </w:rPr>
        <w:t>)</w:t>
      </w:r>
    </w:p>
    <w:p w14:paraId="59C62AFD" w14:textId="04036520">
      <w:pPr>
        <w:textAlignment w:val="baseline"/>
        <w:rPr>
          <w:rFonts w:ascii="Arial" w:eastAsia="Times New Roman" w:hAnsi="Arial" w:cs="Arial"/>
          <w:sz w:val="20"/>
          <w:szCs w:val="20"/>
        </w:rPr>
      </w:pPr>
      <w:r>
        <w:rPr>
          <w:rFonts w:ascii="Arial" w:eastAsia="Times New Roman" w:hAnsi="Arial" w:cs="Arial"/>
          <w:sz w:val="20"/>
          <w:szCs w:val="20"/>
        </w:rPr>
        <w:t xml:space="preserve">Witbe (Euronext Growth - FR0013143872 - ALWIT) makes automated testing and proactive monitoring technology for global video service providers. The company’s award-winning technology accurately measures the </w:t>
      </w:r>
      <w:r>
        <w:rPr>
          <w:rFonts w:ascii="Arial" w:eastAsia="Times New Roman" w:hAnsi="Arial" w:cs="Arial"/>
          <w:sz w:val="20"/>
          <w:szCs w:val="20"/>
        </w:rPr>
        <w:t xml:space="preserve">quality </w:t>
      </w:r>
      <w:r>
        <w:rPr>
          <w:rFonts w:ascii="Arial" w:eastAsia="Times New Roman" w:hAnsi="Arial" w:cs="Arial"/>
          <w:sz w:val="20"/>
          <w:szCs w:val="20"/>
        </w:rPr>
        <w:t xml:space="preserve">of </w:t>
      </w:r>
      <w:r>
        <w:rPr>
          <w:rFonts w:ascii="Arial" w:eastAsia="Times New Roman" w:hAnsi="Arial" w:cs="Arial"/>
          <w:sz w:val="20"/>
          <w:szCs w:val="20"/>
        </w:rPr>
        <w:t xml:space="preserve">experience </w:t>
      </w:r>
      <w:r>
        <w:rPr>
          <w:rFonts w:ascii="Arial" w:eastAsia="Times New Roman" w:hAnsi="Arial" w:cs="Arial"/>
          <w:sz w:val="20"/>
          <w:szCs w:val="20"/>
        </w:rPr>
        <w:t>that viewers receive. Witbe’s non</w:t>
      </w:r>
      <w:r>
        <w:rPr>
          <w:rFonts w:ascii="Arial" w:eastAsia="Times New Roman" w:hAnsi="Arial" w:cs="Arial"/>
          <w:sz w:val="20"/>
          <w:szCs w:val="20"/>
        </w:rPr>
        <w:t>-</w:t>
      </w:r>
      <w:r>
        <w:rPr>
          <w:rFonts w:ascii="Arial" w:eastAsia="Times New Roman" w:hAnsi="Arial" w:cs="Arial"/>
          <w:sz w:val="20"/>
          <w:szCs w:val="20"/>
        </w:rPr>
        <w:t>intrusive, plug-and-play technology replicates user behavior to automatically test and monitor video services from anywhere in the world. The Witbe Software Suite allows teams to remotely access their Witbox robot, which can control, test, and monitor any video app running on a real device. The essential data collected by the Witbox can then be analyzed and shared in Witbe’s observability platform.</w:t>
      </w:r>
    </w:p>
    <w:p w14:paraId="226C07D9" w14:textId="77777777">
      <w:pPr>
        <w:textAlignment w:val="baseline"/>
        <w:rPr>
          <w:rFonts w:ascii="Arial" w:eastAsia="Times New Roman" w:hAnsi="Arial" w:cs="Arial"/>
          <w:sz w:val="20"/>
          <w:szCs w:val="20"/>
        </w:rPr>
      </w:pPr>
    </w:p>
    <w:p w14:paraId="0ECB9244" w14:textId="1F8DC468">
      <w:pPr>
        <w:textAlignment w:val="baseline"/>
        <w:rPr>
          <w:rFonts w:ascii="Arial" w:eastAsia="Times New Roman" w:hAnsi="Arial" w:cs="Arial"/>
          <w:sz w:val="20"/>
          <w:szCs w:val="20"/>
        </w:rPr>
      </w:pPr>
      <w:r>
        <w:rPr>
          <w:rFonts w:ascii="Arial" w:eastAsia="Times New Roman" w:hAnsi="Arial" w:cs="Arial"/>
          <w:sz w:val="20"/>
          <w:szCs w:val="20"/>
        </w:rPr>
        <w:t>Witbe’s recent innovations include its streamlined Automated Testing Set, deploying automation and providing QA results faster than ever before; its popular Ad Monitoring and Matching technology to resolve dynamic ad insertion errors; its acclaimed Smart Navigate AI algorithm; and its new Mobile Quality of Experience and Video Traffic Optimization technology. Witbe has a dozen offices around the world and is proud to have customers — including Comcast, Cox, Verizon, Peacock, and Orange</w:t>
      </w:r>
      <w:r>
        <w:rPr>
          <w:rFonts w:ascii="Arial" w:eastAsia="Times New Roman" w:hAnsi="Arial" w:cs="Arial"/>
          <w:sz w:val="20"/>
          <w:szCs w:val="20"/>
        </w:rPr>
        <w:t xml:space="preserve"> </w:t>
      </w:r>
      <w:r>
        <w:rPr>
          <w:rFonts w:ascii="Arial" w:eastAsia="Times New Roman" w:hAnsi="Arial" w:cs="Arial"/>
          <w:sz w:val="20"/>
          <w:szCs w:val="20"/>
        </w:rPr>
        <w:t xml:space="preserve">— in more than 50 countries. More information and further updates are available at </w:t>
      </w:r>
      <w:hyperlink r:id="rId12" w:history="1">
        <w:r>
          <w:rPr>
            <w:rStyle w:val="Hyperlink"/>
            <w:rFonts w:ascii="Arial" w:eastAsia="Times New Roman" w:hAnsi="Arial" w:cs="Arial"/>
            <w:sz w:val="20"/>
            <w:szCs w:val="20"/>
          </w:rPr>
          <w:t>www.witbe.net</w:t>
        </w:r>
      </w:hyperlink>
      <w:r>
        <w:rPr>
          <w:rFonts w:ascii="Arial" w:eastAsia="Times New Roman" w:hAnsi="Arial" w:cs="Arial"/>
          <w:sz w:val="20"/>
          <w:szCs w:val="20"/>
        </w:rPr>
        <w:t>.</w:t>
      </w:r>
    </w:p>
    <w:p w14:paraId="3CE8DBC7" w14:textId="4903F0C9">
      <w:pPr>
        <w:textAlignment w:val="baseline"/>
        <w:rPr>
          <w:rFonts w:ascii="Arial" w:eastAsia="Times New Roman" w:hAnsi="Arial" w:cs="Arial"/>
          <w:b/>
          <w:bCs/>
          <w:sz w:val="20"/>
          <w:szCs w:val="20"/>
        </w:rPr>
      </w:pPr>
    </w:p>
    <w:p w14:paraId="05356E10" w14:textId="2123F298">
      <w:pPr>
        <w:textAlignment w:val="baseline"/>
        <w:rPr>
          <w:rFonts w:ascii="Arial" w:eastAsia="Times New Roman" w:hAnsi="Arial" w:cs="Arial"/>
          <w:b/>
          <w:bCs/>
          <w:sz w:val="20"/>
          <w:szCs w:val="20"/>
        </w:rPr>
      </w:pPr>
      <w:r>
        <w:rPr>
          <w:rFonts w:ascii="Arial" w:eastAsia="Times New Roman" w:hAnsi="Arial" w:cs="Arial"/>
          <w:b/>
          <w:bCs/>
          <w:sz w:val="20"/>
          <w:szCs w:val="20"/>
        </w:rPr>
        <w:t xml:space="preserve">About </w:t>
      </w:r>
      <w:r>
        <w:rPr>
          <w:rFonts w:ascii="Arial" w:eastAsia="Times New Roman" w:hAnsi="Arial" w:cs="Arial"/>
          <w:b/>
          <w:bCs/>
          <w:sz w:val="20"/>
          <w:szCs w:val="20"/>
        </w:rPr>
        <w:t>Digital TV Group</w:t>
      </w:r>
      <w:r>
        <w:rPr>
          <w:rFonts w:ascii="Arial" w:eastAsia="Times New Roman" w:hAnsi="Arial" w:cs="Arial"/>
          <w:b/>
          <w:bCs/>
          <w:sz w:val="20"/>
          <w:szCs w:val="20"/>
        </w:rPr>
        <w:t xml:space="preserve"> (</w:t>
      </w:r>
      <w:hyperlink r:id="rId13" w:history="1">
        <w:r>
          <w:rPr>
            <w:rStyle w:val="Hyperlink"/>
            <w:rFonts w:ascii="Arial" w:eastAsia="Times New Roman" w:hAnsi="Arial" w:cs="Arial"/>
            <w:b/>
            <w:bCs/>
            <w:sz w:val="20"/>
            <w:szCs w:val="20"/>
          </w:rPr>
          <w:t>dtg.org.uk</w:t>
        </w:r>
      </w:hyperlink>
      <w:r>
        <w:rPr>
          <w:rFonts w:ascii="Arial" w:eastAsia="Times New Roman" w:hAnsi="Arial" w:cs="Arial"/>
          <w:b/>
          <w:bCs/>
          <w:sz w:val="20"/>
          <w:szCs w:val="20"/>
        </w:rPr>
        <w:t>)</w:t>
      </w:r>
      <w:r>
        <w:rPr>
          <w:rFonts w:ascii="Arial" w:eastAsia="Times New Roman" w:hAnsi="Arial" w:cs="Arial"/>
          <w:sz w:val="20"/>
          <w:szCs w:val="20"/>
        </w:rPr>
        <w:t xml:space="preserve"> </w:t>
      </w:r>
    </w:p>
    <w:p w14:paraId="0635E0B6" w14:textId="6A210FEC">
      <w:pPr>
        <w:rPr>
          <w:rFonts w:ascii="Arial" w:hAnsi="Arial" w:cs="Arial"/>
          <w:sz w:val="20"/>
          <w:szCs w:val="20"/>
        </w:rPr>
      </w:pPr>
      <w:r>
        <w:rPr>
          <w:rFonts w:ascii="Arial" w:hAnsi="Arial" w:cs="Arial"/>
          <w:sz w:val="20"/>
          <w:szCs w:val="20"/>
        </w:rPr>
        <w:t xml:space="preserve">For more than 25 years, the Digital TV Group (DTG) has been central to driving digital TV innovation in the UK - from </w:t>
      </w:r>
      <w:r>
        <w:rPr>
          <w:rFonts w:ascii="Arial" w:hAnsi="Arial" w:cs="Arial"/>
          <w:sz w:val="20"/>
          <w:szCs w:val="20"/>
        </w:rPr>
        <w:t>leading</w:t>
      </w:r>
      <w:r>
        <w:rPr>
          <w:rFonts w:ascii="Arial" w:hAnsi="Arial" w:cs="Arial"/>
          <w:sz w:val="20"/>
          <w:szCs w:val="20"/>
        </w:rPr>
        <w:t xml:space="preserve"> the digital TV switchover to making interactive TV happen, rolling out on-demand TV, and introducing HDTV and UHD TV. DTG works with the best of industry on the future of television, embracing the convergence of content and networks to efficiently deliver video to all screens, across all devices, in all formats. The Zoo at DTG Testing is the UK’s only comprehensive testing and accreditation center for digital TV devices and services. For more information, visit </w:t>
      </w:r>
      <w:hyperlink r:id="rId14" w:history="1">
        <w:r>
          <w:rPr>
            <w:rStyle w:val="Hyperlink"/>
            <w:rFonts w:ascii="Arial" w:hAnsi="Arial" w:cs="Arial"/>
            <w:sz w:val="20"/>
            <w:szCs w:val="20"/>
          </w:rPr>
          <w:t>dtg.org.uk</w:t>
        </w:r>
      </w:hyperlink>
      <w:r>
        <w:rPr>
          <w:rFonts w:ascii="Arial" w:hAnsi="Arial" w:cs="Arial"/>
          <w:sz w:val="20"/>
          <w:szCs w:val="20"/>
        </w:rPr>
        <w:t xml:space="preserve">. </w:t>
      </w:r>
    </w:p>
    <w:p w14:paraId="45962A4E" w14:textId="77777777">
      <w:pPr>
        <w:textAlignment w:val="baseline"/>
        <w:rPr>
          <w:rFonts w:ascii="Arial" w:eastAsia="Times New Roman" w:hAnsi="Arial" w:cs="Arial"/>
          <w:i/>
          <w:iCs/>
          <w:sz w:val="20"/>
          <w:szCs w:val="20"/>
        </w:rPr>
      </w:pPr>
    </w:p>
    <w:p w14:paraId="0EDAA8F6" w14:textId="13A27D17">
      <w:pPr>
        <w:rPr>
          <w:rStyle w:val="Hyperlink"/>
          <w:rFonts w:ascii="Arial" w:eastAsia="Arial" w:hAnsi="Arial" w:cs="Arial"/>
          <w:sz w:val="20"/>
          <w:szCs w:val="20"/>
        </w:rPr>
      </w:pPr>
      <w:r>
        <w:rPr>
          <w:rFonts w:ascii="Arial" w:eastAsia="Arial" w:hAnsi="Arial" w:cs="Arial"/>
          <w:b/>
          <w:bCs/>
          <w:color w:val="000000" w:themeColor="text1"/>
          <w:sz w:val="20"/>
          <w:szCs w:val="20"/>
        </w:rPr>
        <w:t>Link to Word Doc:</w:t>
      </w:r>
      <w:r>
        <w:rPr>
          <w:rFonts w:ascii="Arial" w:eastAsia="Arial" w:hAnsi="Arial" w:cs="Arial"/>
          <w:color w:val="000000" w:themeColor="text1"/>
          <w:sz w:val="20"/>
          <w:szCs w:val="20"/>
        </w:rPr>
        <w:t xml:space="preserve"> </w:t>
      </w:r>
      <w:hyperlink r:id="rId15" w:history="1">
        <w:r>
          <w:rPr>
            <w:rStyle w:val="Hyperlink"/>
            <w:rFonts w:ascii="Arial" w:eastAsia="Arial" w:hAnsi="Arial" w:cs="Arial"/>
            <w:sz w:val="20"/>
            <w:szCs w:val="20"/>
          </w:rPr>
          <w:t>www.wallstcom.com/Witbe/250115-Witbe–Digital_TV_Group.docx</w:t>
        </w:r>
      </w:hyperlink>
    </w:p>
    <w:p w14:paraId="1EEEE781" w14:textId="77777777">
      <w:pPr>
        <w:textAlignment w:val="baseline"/>
        <w:rPr>
          <w:rFonts w:ascii="Arial" w:hAnsi="Arial" w:cs="Arial"/>
          <w:b/>
          <w:bCs/>
          <w:sz w:val="20"/>
          <w:szCs w:val="20"/>
        </w:rPr>
      </w:pPr>
    </w:p>
    <w:p w14:paraId="7744AF99" w14:textId="3EE6B9ED">
      <w:pPr>
        <w:textAlignment w:val="baseline"/>
        <w:rPr>
          <w:rFonts w:ascii="Arial" w:hAnsi="Arial" w:cs="Arial"/>
          <w:sz w:val="20"/>
          <w:szCs w:val="20"/>
        </w:rPr>
      </w:pPr>
      <w:r>
        <w:rPr>
          <w:rFonts w:ascii="Arial" w:hAnsi="Arial" w:cs="Arial"/>
          <w:b/>
          <w:bCs/>
          <w:sz w:val="20"/>
          <w:szCs w:val="20"/>
        </w:rPr>
        <w:t>Link to Photo:</w:t>
      </w:r>
      <w:r>
        <w:rPr>
          <w:rFonts w:ascii="Arial" w:hAnsi="Arial" w:cs="Arial"/>
          <w:b/>
          <w:bCs/>
          <w:sz w:val="20"/>
          <w:szCs w:val="20"/>
        </w:rPr>
        <w:t xml:space="preserve"> </w:t>
      </w:r>
      <w:hyperlink r:id="rId16" w:history="1">
        <w:r>
          <w:rPr>
            <w:rStyle w:val="Hyperlink"/>
            <w:rFonts w:ascii="Arial" w:hAnsi="Arial" w:cs="Arial"/>
            <w:sz w:val="20"/>
            <w:szCs w:val="20"/>
          </w:rPr>
          <w:t>www.wallstcom.com/Witbe/Witbe-DTG.jpg</w:t>
        </w:r>
      </w:hyperlink>
      <w:r>
        <w:rPr>
          <w:rFonts w:ascii="Arial" w:hAnsi="Arial" w:cs="Arial"/>
          <w:sz w:val="20"/>
          <w:szCs w:val="20"/>
        </w:rPr>
        <w:t xml:space="preserve"> </w:t>
      </w:r>
    </w:p>
    <w:p w14:paraId="02B0C555" w14:textId="01BD7F96">
      <w:pPr>
        <w:textAlignment w:val="baseline"/>
        <w:rPr>
          <w:rFonts w:ascii="Arial" w:hAnsi="Arial" w:cs="Arial"/>
          <w:sz w:val="20"/>
          <w:szCs w:val="20"/>
        </w:rPr>
      </w:pPr>
      <w:r>
        <w:rPr>
          <w:rFonts w:ascii="Arial" w:hAnsi="Arial" w:cs="Arial"/>
          <w:b/>
          <w:bCs/>
          <w:sz w:val="20"/>
          <w:szCs w:val="20"/>
        </w:rPr>
        <w:t xml:space="preserve">Photo </w:t>
      </w:r>
      <w:r>
        <w:rPr>
          <w:rFonts w:ascii="Arial" w:hAnsi="Arial" w:cs="Arial"/>
          <w:b/>
          <w:bCs/>
          <w:sz w:val="20"/>
          <w:szCs w:val="20"/>
        </w:rPr>
        <w:t>Caption</w:t>
      </w:r>
      <w:r>
        <w:rPr>
          <w:rFonts w:ascii="Arial" w:hAnsi="Arial" w:cs="Arial"/>
          <w:b/>
          <w:bCs/>
          <w:sz w:val="20"/>
          <w:szCs w:val="20"/>
        </w:rPr>
        <w:t>:</w:t>
      </w:r>
      <w:r>
        <w:rPr>
          <w:rFonts w:ascii="Arial" w:hAnsi="Arial" w:cs="Arial"/>
          <w:b/>
          <w:bCs/>
          <w:sz w:val="20"/>
          <w:szCs w:val="20"/>
        </w:rPr>
        <w:t xml:space="preserve"> </w:t>
      </w:r>
      <w:r>
        <w:rPr>
          <w:rFonts w:ascii="Arial" w:hAnsi="Arial" w:cs="Arial"/>
          <w:sz w:val="20"/>
          <w:szCs w:val="20"/>
        </w:rPr>
        <w:t>Witbe has joined the UK’s Digital TV Group (DTG) to bring the company’s video monitoring expertise to service providers</w:t>
      </w:r>
      <w:r>
        <w:rPr>
          <w:rFonts w:ascii="Arial" w:hAnsi="Arial" w:cs="Arial"/>
          <w:sz w:val="20"/>
          <w:szCs w:val="20"/>
        </w:rPr>
        <w:t>.</w:t>
      </w:r>
    </w:p>
    <w:p w14:paraId="00FB153D" w14:textId="77777777">
      <w:pPr>
        <w:textAlignment w:val="baseline"/>
        <w:rPr>
          <w:rFonts w:ascii="Arial" w:hAnsi="Arial" w:cs="Arial"/>
          <w:b/>
          <w:bCs/>
          <w:sz w:val="20"/>
          <w:szCs w:val="20"/>
        </w:rPr>
      </w:pPr>
    </w:p>
    <w:tbl>
      <w:tblPr>
        <w:tblW w:w="10546" w:type="dxa"/>
        <w:tblInd w:w="-90" w:type="dxa"/>
        <w:tblCellMar>
          <w:left w:w="0" w:type="dxa"/>
          <w:right w:w="0" w:type="dxa"/>
        </w:tblCellMar>
        <w:tblLook w:val="04A0" w:firstRow="1" w:lastRow="0" w:firstColumn="1" w:lastColumn="0" w:noHBand="0" w:noVBand="1"/>
      </w:tblPr>
      <w:tblGrid>
        <w:gridCol w:w="3095"/>
        <w:gridCol w:w="3990"/>
        <w:gridCol w:w="3461"/>
      </w:tblGrid>
      <w:tr w14:paraId="0DFD0E1A" w14:textId="77777777">
        <w:trPr>
          <w:trHeight w:val="1162"/>
        </w:trPr>
        <w:tc>
          <w:tcPr>
            <w:tcW w:w="3095" w:type="dxa"/>
            <w:tcMar>
              <w:top w:w="5" w:type="dxa"/>
              <w:left w:w="113" w:type="dxa"/>
              <w:bottom w:w="5" w:type="dxa"/>
              <w:right w:w="113" w:type="dxa"/>
            </w:tcMar>
            <w:hideMark/>
          </w:tcPr>
          <w:p w14:paraId="7865F2C8" w14:textId="77777777">
            <w:pPr>
              <w:rPr>
                <w:rFonts w:ascii="Arial" w:hAnsi="Arial" w:cs="Arial"/>
                <w:color w:val="000000"/>
                <w:sz w:val="20"/>
                <w:szCs w:val="20"/>
              </w:rPr>
            </w:pPr>
            <w:r>
              <w:rPr>
                <w:rFonts w:ascii="Arial" w:eastAsia="Arial" w:hAnsi="Arial" w:cs="Arial"/>
                <w:b/>
                <w:bCs/>
                <w:color w:val="000000"/>
                <w:sz w:val="20"/>
                <w:szCs w:val="20"/>
              </w:rPr>
              <w:t xml:space="preserve">Agency Contact: </w:t>
            </w:r>
          </w:p>
          <w:p w14:paraId="32E97108" w14:textId="77777777">
            <w:pPr>
              <w:rPr>
                <w:rFonts w:ascii="Arial" w:eastAsia="Arial" w:hAnsi="Arial" w:cs="Arial"/>
                <w:color w:val="000000"/>
                <w:sz w:val="20"/>
                <w:szCs w:val="20"/>
              </w:rPr>
            </w:pPr>
            <w:r>
              <w:rPr>
                <w:rFonts w:ascii="Arial" w:eastAsia="Arial" w:hAnsi="Arial" w:cs="Arial"/>
                <w:color w:val="000000"/>
                <w:sz w:val="20"/>
                <w:szCs w:val="20"/>
              </w:rPr>
              <w:t>Moe Lokat</w:t>
            </w:r>
          </w:p>
          <w:p w14:paraId="31A5A265" w14:textId="5A18D954">
            <w:pPr>
              <w:rPr>
                <w:rFonts w:ascii="Arial" w:hAnsi="Arial" w:cs="Arial"/>
                <w:color w:val="000000"/>
                <w:sz w:val="20"/>
                <w:szCs w:val="20"/>
              </w:rPr>
            </w:pPr>
            <w:r>
              <w:rPr>
                <w:rFonts w:ascii="Arial" w:eastAsia="Arial" w:hAnsi="Arial" w:cs="Arial"/>
                <w:color w:val="000000"/>
                <w:sz w:val="20"/>
                <w:szCs w:val="20"/>
              </w:rPr>
              <w:t>Wall Street Communications</w:t>
            </w:r>
          </w:p>
          <w:p w14:paraId="045458A1" w14:textId="77777777">
            <w:pPr>
              <w:rPr>
                <w:rFonts w:ascii="Arial" w:eastAsia="Arial" w:hAnsi="Arial" w:cs="Arial"/>
                <w:color w:val="000000"/>
                <w:sz w:val="20"/>
                <w:szCs w:val="20"/>
              </w:rPr>
            </w:pPr>
            <w:r>
              <w:rPr>
                <w:rFonts w:ascii="Arial" w:eastAsia="Arial" w:hAnsi="Arial" w:cs="Arial"/>
                <w:color w:val="000000"/>
                <w:sz w:val="20"/>
                <w:szCs w:val="20"/>
              </w:rPr>
              <w:t>Tel: +44 (0) 7973 306039</w:t>
            </w:r>
          </w:p>
          <w:p w14:paraId="60D49F2B" w14:textId="35C0F077">
            <w:pPr>
              <w:rPr>
                <w:rFonts w:ascii="Arial" w:eastAsia="Arial" w:hAnsi="Arial" w:cs="Arial"/>
                <w:color w:val="000000"/>
                <w:sz w:val="20"/>
                <w:szCs w:val="20"/>
              </w:rPr>
            </w:pPr>
            <w:r>
              <w:rPr>
                <w:rFonts w:ascii="Arial" w:eastAsia="Arial" w:hAnsi="Arial" w:cs="Arial"/>
                <w:color w:val="000000"/>
                <w:sz w:val="20"/>
                <w:szCs w:val="20"/>
              </w:rPr>
              <w:t xml:space="preserve">Email: </w:t>
            </w:r>
            <w:hyperlink r:id="rId17" w:history="1">
              <w:r>
                <w:rPr>
                  <w:rStyle w:val="Hyperlink"/>
                  <w:rFonts w:ascii="Arial" w:eastAsia="Arial" w:hAnsi="Arial" w:cs="Arial"/>
                  <w:sz w:val="20"/>
                  <w:szCs w:val="20"/>
                </w:rPr>
                <w:t>moe</w:t>
              </w:r>
              <w:r>
                <w:rPr>
                  <w:rStyle w:val="Hyperlink"/>
                  <w:rFonts w:ascii="Arial" w:hAnsi="Arial" w:cs="Arial"/>
                  <w:sz w:val="20"/>
                  <w:szCs w:val="20"/>
                </w:rPr>
                <w:t>@wallstcom</w:t>
              </w:r>
              <w:r>
                <w:rPr>
                  <w:rStyle w:val="Hyperlink"/>
                  <w:rFonts w:ascii="Arial" w:eastAsia="Arial" w:hAnsi="Arial" w:cs="Arial"/>
                  <w:sz w:val="20"/>
                  <w:szCs w:val="20"/>
                </w:rPr>
                <w:t>.</w:t>
              </w:r>
              <w:r>
                <w:rPr>
                  <w:rStyle w:val="Hyperlink"/>
                  <w:rFonts w:ascii="Arial" w:hAnsi="Arial" w:cs="Arial"/>
                  <w:sz w:val="20"/>
                  <w:szCs w:val="20"/>
                </w:rPr>
                <w:t>com</w:t>
              </w:r>
            </w:hyperlink>
          </w:p>
          <w:p w14:paraId="3C45FD7E" w14:textId="77470013">
            <w:pPr>
              <w:rPr>
                <w:rFonts w:ascii="Arial" w:hAnsi="Arial" w:cs="Arial"/>
                <w:color w:val="000000"/>
                <w:sz w:val="20"/>
                <w:szCs w:val="20"/>
              </w:rPr>
            </w:pPr>
          </w:p>
        </w:tc>
        <w:tc>
          <w:tcPr>
            <w:tcW w:w="3990" w:type="dxa"/>
            <w:tcMar>
              <w:top w:w="5" w:type="dxa"/>
              <w:left w:w="113" w:type="dxa"/>
              <w:bottom w:w="5" w:type="dxa"/>
              <w:right w:w="113" w:type="dxa"/>
            </w:tcMar>
            <w:hideMark/>
          </w:tcPr>
          <w:p w14:paraId="641AB026" w14:textId="77777777">
            <w:pPr>
              <w:rPr>
                <w:rFonts w:ascii="Arial" w:hAnsi="Arial" w:cs="Arial"/>
                <w:color w:val="000000"/>
                <w:sz w:val="20"/>
                <w:szCs w:val="20"/>
              </w:rPr>
            </w:pPr>
            <w:r>
              <w:rPr>
                <w:rFonts w:ascii="Arial" w:eastAsia="Arial" w:hAnsi="Arial" w:cs="Arial"/>
                <w:b/>
                <w:bCs/>
                <w:color w:val="000000"/>
                <w:sz w:val="20"/>
                <w:szCs w:val="20"/>
              </w:rPr>
              <w:t>Company Contact:</w:t>
            </w:r>
          </w:p>
          <w:p w14:paraId="44E4C9C1" w14:textId="7FB83964">
            <w:pPr>
              <w:rPr>
                <w:rFonts w:ascii="Arial" w:hAnsi="Arial" w:cs="Arial"/>
                <w:sz w:val="20"/>
                <w:szCs w:val="20"/>
              </w:rPr>
            </w:pPr>
            <w:r>
              <w:rPr>
                <w:rFonts w:ascii="Arial" w:hAnsi="Arial" w:cs="Arial"/>
                <w:sz w:val="20"/>
                <w:szCs w:val="20"/>
              </w:rPr>
              <w:t>Noemie Galabru</w:t>
            </w:r>
            <w:r>
              <w:rPr>
                <w:rFonts w:ascii="Arial" w:hAnsi="Arial" w:cs="Arial"/>
                <w:sz w:val="20"/>
                <w:szCs w:val="20"/>
              </w:rPr>
              <w:br/>
            </w:r>
            <w:r>
              <w:rPr>
                <w:rFonts w:ascii="Arial" w:hAnsi="Arial" w:cs="Arial"/>
                <w:sz w:val="20"/>
                <w:szCs w:val="20"/>
              </w:rPr>
              <w:t>Chief Marketing Officer</w:t>
            </w:r>
          </w:p>
          <w:p w14:paraId="181CB800" w14:textId="22C4B495">
            <w:pPr>
              <w:rPr>
                <w:rFonts w:ascii="Arial" w:hAnsi="Arial" w:cs="Arial"/>
                <w:sz w:val="20"/>
                <w:szCs w:val="20"/>
              </w:rPr>
            </w:pPr>
            <w:r>
              <w:rPr>
                <w:rFonts w:ascii="Arial" w:hAnsi="Arial" w:cs="Arial"/>
                <w:sz w:val="20"/>
                <w:szCs w:val="20"/>
              </w:rPr>
              <w:t>Tel: +1 934</w:t>
            </w:r>
            <w:r>
              <w:rPr>
                <w:rFonts w:ascii="Arial" w:hAnsi="Arial" w:cs="Arial"/>
                <w:sz w:val="20"/>
                <w:szCs w:val="20"/>
              </w:rPr>
              <w:t xml:space="preserve"> </w:t>
            </w:r>
            <w:r>
              <w:rPr>
                <w:rFonts w:ascii="Arial" w:hAnsi="Arial" w:cs="Arial"/>
                <w:sz w:val="20"/>
                <w:szCs w:val="20"/>
              </w:rPr>
              <w:t>799</w:t>
            </w:r>
            <w:r>
              <w:rPr>
                <w:rFonts w:ascii="Arial" w:hAnsi="Arial" w:cs="Arial"/>
                <w:sz w:val="20"/>
                <w:szCs w:val="20"/>
              </w:rPr>
              <w:t xml:space="preserve"> </w:t>
            </w:r>
            <w:r>
              <w:rPr>
                <w:rFonts w:ascii="Arial" w:hAnsi="Arial" w:cs="Arial"/>
                <w:sz w:val="20"/>
                <w:szCs w:val="20"/>
              </w:rPr>
              <w:t>0121</w:t>
            </w:r>
          </w:p>
          <w:p w14:paraId="20CB8509" w14:textId="77777777">
            <w:pPr>
              <w:rPr>
                <w:rFonts w:ascii="Arial" w:hAnsi="Arial" w:cs="Arial"/>
                <w:sz w:val="20"/>
                <w:szCs w:val="20"/>
              </w:rPr>
            </w:pPr>
            <w:r>
              <w:rPr>
                <w:rFonts w:ascii="Arial" w:hAnsi="Arial" w:cs="Arial"/>
                <w:sz w:val="20"/>
                <w:szCs w:val="20"/>
              </w:rPr>
              <w:t xml:space="preserve">Email: </w:t>
            </w:r>
            <w:hyperlink r:id="rId18" w:history="1">
              <w:r>
                <w:rPr>
                  <w:rStyle w:val="Hyperlink"/>
                  <w:rFonts w:ascii="Arial" w:hAnsi="Arial" w:cs="Arial"/>
                  <w:sz w:val="20"/>
                  <w:szCs w:val="20"/>
                </w:rPr>
                <w:t>noemie.galabru@witbe.net</w:t>
              </w:r>
            </w:hyperlink>
          </w:p>
          <w:p w14:paraId="29344C92" w14:textId="68D81685">
            <w:pPr>
              <w:rPr>
                <w:rFonts w:ascii="Arial" w:hAnsi="Arial" w:cs="Arial"/>
                <w:color w:val="000000"/>
                <w:sz w:val="20"/>
                <w:szCs w:val="20"/>
              </w:rPr>
            </w:pPr>
          </w:p>
        </w:tc>
        <w:tc>
          <w:tcPr>
            <w:tcW w:w="3461" w:type="dxa"/>
            <w:tcMar>
              <w:top w:w="5" w:type="dxa"/>
              <w:left w:w="113" w:type="dxa"/>
              <w:bottom w:w="5" w:type="dxa"/>
              <w:right w:w="113" w:type="dxa"/>
            </w:tcMar>
            <w:hideMark/>
          </w:tcPr>
          <w:p w14:paraId="566A4FD5" w14:textId="77777777">
            <w:pPr>
              <w:rPr>
                <w:rFonts w:ascii="Arial" w:hAnsi="Arial" w:cs="Arial"/>
                <w:b/>
                <w:bCs/>
                <w:color w:val="000000"/>
                <w:sz w:val="20"/>
                <w:szCs w:val="20"/>
              </w:rPr>
            </w:pPr>
            <w:r>
              <w:rPr>
                <w:rFonts w:ascii="Arial" w:hAnsi="Arial" w:cs="Arial"/>
                <w:b/>
                <w:bCs/>
                <w:color w:val="000000"/>
                <w:sz w:val="20"/>
                <w:szCs w:val="20"/>
              </w:rPr>
              <w:t>Witbe</w:t>
            </w:r>
          </w:p>
          <w:p w14:paraId="47859391" w14:textId="77777777">
            <w:pPr>
              <w:rPr>
                <w:rFonts w:ascii="Arial" w:hAnsi="Arial" w:cs="Arial"/>
                <w:color w:val="000000"/>
                <w:sz w:val="20"/>
                <w:szCs w:val="20"/>
              </w:rPr>
            </w:pPr>
            <w:r>
              <w:rPr>
                <w:rFonts w:ascii="Arial" w:hAnsi="Arial" w:cs="Arial"/>
                <w:color w:val="000000"/>
                <w:sz w:val="20"/>
                <w:szCs w:val="20"/>
              </w:rPr>
              <w:t>350 7th Avenue</w:t>
            </w:r>
          </w:p>
          <w:p w14:paraId="6A7AFECF" w14:textId="38107C21">
            <w:pPr>
              <w:rPr>
                <w:rFonts w:ascii="Arial" w:hAnsi="Arial" w:cs="Arial"/>
                <w:color w:val="000000"/>
                <w:sz w:val="20"/>
                <w:szCs w:val="20"/>
              </w:rPr>
            </w:pPr>
            <w:r>
              <w:rPr>
                <w:rFonts w:ascii="Arial" w:hAnsi="Arial" w:cs="Arial"/>
                <w:color w:val="000000"/>
                <w:sz w:val="20"/>
                <w:szCs w:val="20"/>
              </w:rPr>
              <w:t xml:space="preserve">Suite </w:t>
            </w:r>
            <w:r>
              <w:rPr>
                <w:rFonts w:ascii="Arial" w:hAnsi="Arial" w:cs="Arial"/>
                <w:color w:val="000000"/>
                <w:sz w:val="20"/>
                <w:szCs w:val="20"/>
              </w:rPr>
              <w:t>1500</w:t>
            </w:r>
          </w:p>
          <w:p w14:paraId="0B8E42F0" w14:textId="77777777">
            <w:pPr>
              <w:rPr>
                <w:rFonts w:ascii="Arial" w:hAnsi="Arial" w:cs="Arial"/>
                <w:color w:val="000000"/>
                <w:sz w:val="20"/>
                <w:szCs w:val="20"/>
              </w:rPr>
            </w:pPr>
            <w:r>
              <w:rPr>
                <w:rFonts w:ascii="Arial" w:hAnsi="Arial" w:cs="Arial"/>
                <w:color w:val="000000"/>
                <w:sz w:val="20"/>
                <w:szCs w:val="20"/>
              </w:rPr>
              <w:t>New York, NY 10001</w:t>
            </w:r>
          </w:p>
          <w:p w14:paraId="6BAAAEB4" w14:textId="77777777">
            <w:pPr>
              <w:rPr>
                <w:rFonts w:ascii="Arial" w:hAnsi="Arial" w:cs="Arial"/>
                <w:color w:val="000000"/>
                <w:sz w:val="20"/>
                <w:szCs w:val="20"/>
              </w:rPr>
            </w:pPr>
            <w:hyperlink r:id="rId19" w:history="1">
              <w:r>
                <w:rPr>
                  <w:rStyle w:val="Hyperlink"/>
                  <w:rFonts w:ascii="Arial" w:eastAsia="Times New Roman" w:hAnsi="Arial" w:cs="Arial"/>
                  <w:sz w:val="20"/>
                  <w:szCs w:val="20"/>
                </w:rPr>
                <w:t>www.witbe.net</w:t>
              </w:r>
            </w:hyperlink>
          </w:p>
        </w:tc>
      </w:tr>
    </w:tbl>
    <w:p w14:paraId="1A2C8724" w14:textId="77777777">
      <w:pPr>
        <w:textAlignment w:val="baseline"/>
        <w:rPr>
          <w:rFonts w:ascii="Arial" w:eastAsia="Times New Roman" w:hAnsi="Arial" w:cs="Arial"/>
          <w:sz w:val="20"/>
          <w:szCs w:val="20"/>
        </w:rPr>
      </w:pPr>
    </w:p>
    <w:sectPr>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5053" w14:textId="77777777" w:rsidR="00A4726C" w:rsidRDefault="00A4726C" w:rsidP="00552E17">
      <w:r>
        <w:separator/>
      </w:r>
    </w:p>
  </w:endnote>
  <w:endnote w:type="continuationSeparator" w:id="0">
    <w:p w14:paraId="3F4E67BE" w14:textId="77777777" w:rsidR="00A4726C" w:rsidRDefault="00A4726C" w:rsidP="00552E17">
      <w:r>
        <w:continuationSeparator/>
      </w:r>
    </w:p>
  </w:endnote>
  <w:endnote w:type="continuationNotice" w:id="1">
    <w:p w14:paraId="09B1C793" w14:textId="77777777" w:rsidR="00A4726C" w:rsidRDefault="00A472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4D"/>
    <w:family w:val="auto"/>
    <w:pitch w:val="variable"/>
    <w:sig w:usb0="A00000FF" w:usb1="5000E07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6F9AC" w14:textId="77777777" w:rsidR="00A4726C" w:rsidRDefault="00A4726C" w:rsidP="00552E17">
      <w:r>
        <w:separator/>
      </w:r>
    </w:p>
  </w:footnote>
  <w:footnote w:type="continuationSeparator" w:id="0">
    <w:p w14:paraId="711A8EE8" w14:textId="77777777" w:rsidR="00A4726C" w:rsidRDefault="00A4726C" w:rsidP="00552E17">
      <w:r>
        <w:continuationSeparator/>
      </w:r>
    </w:p>
  </w:footnote>
  <w:footnote w:type="continuationNotice" w:id="1">
    <w:p w14:paraId="6A10BD85" w14:textId="77777777" w:rsidR="00A4726C" w:rsidRDefault="00A472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9C6C" w14:textId="44CD92B5" w:rsidR="0081036A" w:rsidRDefault="0081036A">
    <w:pPr>
      <w:pStyle w:val="Header"/>
    </w:pPr>
    <w:r w:rsidRPr="004474F0">
      <w:rPr>
        <w:rFonts w:ascii="Arial" w:eastAsia="Times New Roman" w:hAnsi="Arial" w:cs="Arial"/>
        <w:b/>
        <w:bCs/>
        <w:noProof/>
        <w:spacing w:val="5"/>
        <w:sz w:val="32"/>
        <w:szCs w:val="32"/>
      </w:rPr>
      <w:drawing>
        <wp:anchor distT="0" distB="0" distL="114300" distR="114300" simplePos="0" relativeHeight="251659264" behindDoc="1" locked="0" layoutInCell="1" allowOverlap="1" wp14:anchorId="1D820C49" wp14:editId="68072B2F">
          <wp:simplePos x="0" y="0"/>
          <wp:positionH relativeFrom="column">
            <wp:posOffset>177800</wp:posOffset>
          </wp:positionH>
          <wp:positionV relativeFrom="paragraph">
            <wp:posOffset>-279400</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B5699"/>
    <w:multiLevelType w:val="multilevel"/>
    <w:tmpl w:val="EB2206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D7559E0"/>
    <w:multiLevelType w:val="hybridMultilevel"/>
    <w:tmpl w:val="71962308"/>
    <w:lvl w:ilvl="0" w:tplc="08090001">
      <w:start w:val="1"/>
      <w:numFmt w:val="bullet"/>
      <w:lvlText w:val=""/>
      <w:lvlJc w:val="left"/>
      <w:pPr>
        <w:ind w:left="5147" w:hanging="360"/>
      </w:pPr>
      <w:rPr>
        <w:rFonts w:ascii="Symbol" w:hAnsi="Symbol" w:hint="default"/>
      </w:rPr>
    </w:lvl>
    <w:lvl w:ilvl="1" w:tplc="08090003" w:tentative="1">
      <w:start w:val="1"/>
      <w:numFmt w:val="bullet"/>
      <w:lvlText w:val="o"/>
      <w:lvlJc w:val="left"/>
      <w:pPr>
        <w:ind w:left="5867" w:hanging="360"/>
      </w:pPr>
      <w:rPr>
        <w:rFonts w:ascii="Courier New" w:hAnsi="Courier New" w:hint="default"/>
      </w:rPr>
    </w:lvl>
    <w:lvl w:ilvl="2" w:tplc="08090005" w:tentative="1">
      <w:start w:val="1"/>
      <w:numFmt w:val="bullet"/>
      <w:lvlText w:val=""/>
      <w:lvlJc w:val="left"/>
      <w:pPr>
        <w:ind w:left="6587" w:hanging="360"/>
      </w:pPr>
      <w:rPr>
        <w:rFonts w:ascii="Wingdings" w:hAnsi="Wingdings" w:hint="default"/>
      </w:rPr>
    </w:lvl>
    <w:lvl w:ilvl="3" w:tplc="08090001" w:tentative="1">
      <w:start w:val="1"/>
      <w:numFmt w:val="bullet"/>
      <w:lvlText w:val=""/>
      <w:lvlJc w:val="left"/>
      <w:pPr>
        <w:ind w:left="7307" w:hanging="360"/>
      </w:pPr>
      <w:rPr>
        <w:rFonts w:ascii="Symbol" w:hAnsi="Symbol" w:hint="default"/>
      </w:rPr>
    </w:lvl>
    <w:lvl w:ilvl="4" w:tplc="08090003" w:tentative="1">
      <w:start w:val="1"/>
      <w:numFmt w:val="bullet"/>
      <w:lvlText w:val="o"/>
      <w:lvlJc w:val="left"/>
      <w:pPr>
        <w:ind w:left="8027" w:hanging="360"/>
      </w:pPr>
      <w:rPr>
        <w:rFonts w:ascii="Courier New" w:hAnsi="Courier New" w:hint="default"/>
      </w:rPr>
    </w:lvl>
    <w:lvl w:ilvl="5" w:tplc="08090005" w:tentative="1">
      <w:start w:val="1"/>
      <w:numFmt w:val="bullet"/>
      <w:lvlText w:val=""/>
      <w:lvlJc w:val="left"/>
      <w:pPr>
        <w:ind w:left="8747" w:hanging="360"/>
      </w:pPr>
      <w:rPr>
        <w:rFonts w:ascii="Wingdings" w:hAnsi="Wingdings" w:hint="default"/>
      </w:rPr>
    </w:lvl>
    <w:lvl w:ilvl="6" w:tplc="08090001" w:tentative="1">
      <w:start w:val="1"/>
      <w:numFmt w:val="bullet"/>
      <w:lvlText w:val=""/>
      <w:lvlJc w:val="left"/>
      <w:pPr>
        <w:ind w:left="9467" w:hanging="360"/>
      </w:pPr>
      <w:rPr>
        <w:rFonts w:ascii="Symbol" w:hAnsi="Symbol" w:hint="default"/>
      </w:rPr>
    </w:lvl>
    <w:lvl w:ilvl="7" w:tplc="08090003" w:tentative="1">
      <w:start w:val="1"/>
      <w:numFmt w:val="bullet"/>
      <w:lvlText w:val="o"/>
      <w:lvlJc w:val="left"/>
      <w:pPr>
        <w:ind w:left="10187" w:hanging="360"/>
      </w:pPr>
      <w:rPr>
        <w:rFonts w:ascii="Courier New" w:hAnsi="Courier New" w:hint="default"/>
      </w:rPr>
    </w:lvl>
    <w:lvl w:ilvl="8" w:tplc="08090005" w:tentative="1">
      <w:start w:val="1"/>
      <w:numFmt w:val="bullet"/>
      <w:lvlText w:val=""/>
      <w:lvlJc w:val="left"/>
      <w:pPr>
        <w:ind w:left="10907" w:hanging="360"/>
      </w:pPr>
      <w:rPr>
        <w:rFonts w:ascii="Wingdings" w:hAnsi="Wingdings" w:hint="default"/>
      </w:rPr>
    </w:lvl>
  </w:abstractNum>
  <w:abstractNum w:abstractNumId="2" w15:restartNumberingAfterBreak="0">
    <w:nsid w:val="5E9429E2"/>
    <w:multiLevelType w:val="multilevel"/>
    <w:tmpl w:val="F3A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8048578">
    <w:abstractNumId w:val="2"/>
  </w:num>
  <w:num w:numId="2" w16cid:durableId="183204337">
    <w:abstractNumId w:val="1"/>
  </w:num>
  <w:num w:numId="3" w16cid:durableId="187762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D"/>
    <w:rsid w:val="000015BD"/>
    <w:rsid w:val="00003708"/>
    <w:rsid w:val="0000442A"/>
    <w:rsid w:val="00005304"/>
    <w:rsid w:val="0000691F"/>
    <w:rsid w:val="000069B1"/>
    <w:rsid w:val="000134C2"/>
    <w:rsid w:val="0001720C"/>
    <w:rsid w:val="00031772"/>
    <w:rsid w:val="0003633C"/>
    <w:rsid w:val="0004159E"/>
    <w:rsid w:val="000415C1"/>
    <w:rsid w:val="000437AF"/>
    <w:rsid w:val="00046E28"/>
    <w:rsid w:val="00047CAB"/>
    <w:rsid w:val="00051FFF"/>
    <w:rsid w:val="0005249D"/>
    <w:rsid w:val="000608C0"/>
    <w:rsid w:val="00060E6E"/>
    <w:rsid w:val="00060FE0"/>
    <w:rsid w:val="000643FA"/>
    <w:rsid w:val="00067A62"/>
    <w:rsid w:val="00073111"/>
    <w:rsid w:val="00074618"/>
    <w:rsid w:val="0007535A"/>
    <w:rsid w:val="00076F8B"/>
    <w:rsid w:val="00091BBC"/>
    <w:rsid w:val="00095BA4"/>
    <w:rsid w:val="00096E90"/>
    <w:rsid w:val="000A1982"/>
    <w:rsid w:val="000A2054"/>
    <w:rsid w:val="000A3530"/>
    <w:rsid w:val="000A4BC2"/>
    <w:rsid w:val="000A5748"/>
    <w:rsid w:val="000A6000"/>
    <w:rsid w:val="000B0041"/>
    <w:rsid w:val="000B1B8B"/>
    <w:rsid w:val="000B301C"/>
    <w:rsid w:val="000B3867"/>
    <w:rsid w:val="000B7E3F"/>
    <w:rsid w:val="000C395A"/>
    <w:rsid w:val="000C4993"/>
    <w:rsid w:val="000C5485"/>
    <w:rsid w:val="000C7B61"/>
    <w:rsid w:val="000D2265"/>
    <w:rsid w:val="000D2C92"/>
    <w:rsid w:val="000D2D4C"/>
    <w:rsid w:val="000D2F2E"/>
    <w:rsid w:val="000D4ABC"/>
    <w:rsid w:val="000E0559"/>
    <w:rsid w:val="000E0FC5"/>
    <w:rsid w:val="000E3801"/>
    <w:rsid w:val="000E475C"/>
    <w:rsid w:val="000E4D51"/>
    <w:rsid w:val="000E6BD2"/>
    <w:rsid w:val="000F10F2"/>
    <w:rsid w:val="000F1734"/>
    <w:rsid w:val="000F364E"/>
    <w:rsid w:val="000F5068"/>
    <w:rsid w:val="000F6079"/>
    <w:rsid w:val="000F6BD1"/>
    <w:rsid w:val="000F7071"/>
    <w:rsid w:val="000F7D66"/>
    <w:rsid w:val="00100B8C"/>
    <w:rsid w:val="0010433D"/>
    <w:rsid w:val="001055DF"/>
    <w:rsid w:val="00106AC9"/>
    <w:rsid w:val="0010AF75"/>
    <w:rsid w:val="0011328F"/>
    <w:rsid w:val="0011425F"/>
    <w:rsid w:val="00114BA5"/>
    <w:rsid w:val="001162DE"/>
    <w:rsid w:val="00123042"/>
    <w:rsid w:val="001240B0"/>
    <w:rsid w:val="00125563"/>
    <w:rsid w:val="00125884"/>
    <w:rsid w:val="00130001"/>
    <w:rsid w:val="0013025C"/>
    <w:rsid w:val="0013732B"/>
    <w:rsid w:val="001408AB"/>
    <w:rsid w:val="00140FEC"/>
    <w:rsid w:val="001438C5"/>
    <w:rsid w:val="001536B3"/>
    <w:rsid w:val="00153C8A"/>
    <w:rsid w:val="0015428F"/>
    <w:rsid w:val="001552CF"/>
    <w:rsid w:val="001602F0"/>
    <w:rsid w:val="00163E6F"/>
    <w:rsid w:val="0016492C"/>
    <w:rsid w:val="0016650B"/>
    <w:rsid w:val="00172576"/>
    <w:rsid w:val="00172E14"/>
    <w:rsid w:val="00173328"/>
    <w:rsid w:val="0017351C"/>
    <w:rsid w:val="001776D8"/>
    <w:rsid w:val="00180341"/>
    <w:rsid w:val="001818EB"/>
    <w:rsid w:val="00182683"/>
    <w:rsid w:val="00182BCC"/>
    <w:rsid w:val="0018728A"/>
    <w:rsid w:val="00187A19"/>
    <w:rsid w:val="00187B73"/>
    <w:rsid w:val="00197BC2"/>
    <w:rsid w:val="001A03C4"/>
    <w:rsid w:val="001A5A5F"/>
    <w:rsid w:val="001A5D95"/>
    <w:rsid w:val="001A738F"/>
    <w:rsid w:val="001B569F"/>
    <w:rsid w:val="001C2BFA"/>
    <w:rsid w:val="001C5A73"/>
    <w:rsid w:val="001C6642"/>
    <w:rsid w:val="001D1980"/>
    <w:rsid w:val="001D19BB"/>
    <w:rsid w:val="001D2E42"/>
    <w:rsid w:val="001D529F"/>
    <w:rsid w:val="001D5FF9"/>
    <w:rsid w:val="001E1EF3"/>
    <w:rsid w:val="001E2E81"/>
    <w:rsid w:val="001E44FC"/>
    <w:rsid w:val="001E4DAC"/>
    <w:rsid w:val="001F39AD"/>
    <w:rsid w:val="001F6739"/>
    <w:rsid w:val="0020236E"/>
    <w:rsid w:val="002028E7"/>
    <w:rsid w:val="00212075"/>
    <w:rsid w:val="0021237C"/>
    <w:rsid w:val="00215E41"/>
    <w:rsid w:val="00226A03"/>
    <w:rsid w:val="00231EED"/>
    <w:rsid w:val="00233AEC"/>
    <w:rsid w:val="00234770"/>
    <w:rsid w:val="00236CD6"/>
    <w:rsid w:val="00241A29"/>
    <w:rsid w:val="00241DBF"/>
    <w:rsid w:val="00247692"/>
    <w:rsid w:val="00247DB9"/>
    <w:rsid w:val="0025299C"/>
    <w:rsid w:val="00253B3E"/>
    <w:rsid w:val="00253C27"/>
    <w:rsid w:val="00254464"/>
    <w:rsid w:val="00257885"/>
    <w:rsid w:val="0026182A"/>
    <w:rsid w:val="002618AC"/>
    <w:rsid w:val="002640F6"/>
    <w:rsid w:val="002642F0"/>
    <w:rsid w:val="00266CF0"/>
    <w:rsid w:val="00273757"/>
    <w:rsid w:val="0027482B"/>
    <w:rsid w:val="00276287"/>
    <w:rsid w:val="00277248"/>
    <w:rsid w:val="00280E24"/>
    <w:rsid w:val="00281B6A"/>
    <w:rsid w:val="00282994"/>
    <w:rsid w:val="0028333B"/>
    <w:rsid w:val="002839C9"/>
    <w:rsid w:val="00286363"/>
    <w:rsid w:val="0029161B"/>
    <w:rsid w:val="002932F1"/>
    <w:rsid w:val="00293CC1"/>
    <w:rsid w:val="00296414"/>
    <w:rsid w:val="00297F6F"/>
    <w:rsid w:val="002A05E5"/>
    <w:rsid w:val="002A1F4F"/>
    <w:rsid w:val="002A390D"/>
    <w:rsid w:val="002A3B10"/>
    <w:rsid w:val="002A66E5"/>
    <w:rsid w:val="002A74A8"/>
    <w:rsid w:val="002A7708"/>
    <w:rsid w:val="002B1B77"/>
    <w:rsid w:val="002B4019"/>
    <w:rsid w:val="002C0EA9"/>
    <w:rsid w:val="002C2063"/>
    <w:rsid w:val="002C3682"/>
    <w:rsid w:val="002C5CBD"/>
    <w:rsid w:val="002C7E54"/>
    <w:rsid w:val="002C7FFD"/>
    <w:rsid w:val="002D001C"/>
    <w:rsid w:val="002D121D"/>
    <w:rsid w:val="002D79C0"/>
    <w:rsid w:val="002E0A2B"/>
    <w:rsid w:val="002E0CE3"/>
    <w:rsid w:val="002E16BF"/>
    <w:rsid w:val="002E291A"/>
    <w:rsid w:val="002F0413"/>
    <w:rsid w:val="002F33E1"/>
    <w:rsid w:val="002F78C6"/>
    <w:rsid w:val="0030164B"/>
    <w:rsid w:val="00304552"/>
    <w:rsid w:val="00304A8B"/>
    <w:rsid w:val="00305E1C"/>
    <w:rsid w:val="003112D5"/>
    <w:rsid w:val="00312C34"/>
    <w:rsid w:val="0031567F"/>
    <w:rsid w:val="00316095"/>
    <w:rsid w:val="00316C97"/>
    <w:rsid w:val="003175E6"/>
    <w:rsid w:val="0032777C"/>
    <w:rsid w:val="0033252D"/>
    <w:rsid w:val="00333143"/>
    <w:rsid w:val="0033578A"/>
    <w:rsid w:val="00345BF3"/>
    <w:rsid w:val="0035704D"/>
    <w:rsid w:val="00357962"/>
    <w:rsid w:val="00363995"/>
    <w:rsid w:val="00363DC8"/>
    <w:rsid w:val="003649FC"/>
    <w:rsid w:val="0036658E"/>
    <w:rsid w:val="00366DDE"/>
    <w:rsid w:val="003674E1"/>
    <w:rsid w:val="00371D12"/>
    <w:rsid w:val="0037291A"/>
    <w:rsid w:val="00374A2A"/>
    <w:rsid w:val="003772AC"/>
    <w:rsid w:val="00382B24"/>
    <w:rsid w:val="003842E8"/>
    <w:rsid w:val="00384FC7"/>
    <w:rsid w:val="003915E3"/>
    <w:rsid w:val="0039167E"/>
    <w:rsid w:val="003A10A9"/>
    <w:rsid w:val="003A1282"/>
    <w:rsid w:val="003A3BBB"/>
    <w:rsid w:val="003A4394"/>
    <w:rsid w:val="003A585B"/>
    <w:rsid w:val="003B2F0F"/>
    <w:rsid w:val="003C0982"/>
    <w:rsid w:val="003C1E52"/>
    <w:rsid w:val="003C372F"/>
    <w:rsid w:val="003C5740"/>
    <w:rsid w:val="003C6463"/>
    <w:rsid w:val="003C72A9"/>
    <w:rsid w:val="003D4913"/>
    <w:rsid w:val="003D65DD"/>
    <w:rsid w:val="003E6160"/>
    <w:rsid w:val="003E7E65"/>
    <w:rsid w:val="003F2FD8"/>
    <w:rsid w:val="003F3646"/>
    <w:rsid w:val="003F3B86"/>
    <w:rsid w:val="003F4C3F"/>
    <w:rsid w:val="003F5C41"/>
    <w:rsid w:val="003F5D39"/>
    <w:rsid w:val="003F6F93"/>
    <w:rsid w:val="00403B77"/>
    <w:rsid w:val="00404A45"/>
    <w:rsid w:val="00407881"/>
    <w:rsid w:val="00411E49"/>
    <w:rsid w:val="004145B5"/>
    <w:rsid w:val="00415486"/>
    <w:rsid w:val="00415ED5"/>
    <w:rsid w:val="00415F2A"/>
    <w:rsid w:val="004219F0"/>
    <w:rsid w:val="004246EE"/>
    <w:rsid w:val="00432192"/>
    <w:rsid w:val="004326E0"/>
    <w:rsid w:val="0043433F"/>
    <w:rsid w:val="00434AED"/>
    <w:rsid w:val="00435BE3"/>
    <w:rsid w:val="00436F9D"/>
    <w:rsid w:val="004408CC"/>
    <w:rsid w:val="0044335F"/>
    <w:rsid w:val="00444D1E"/>
    <w:rsid w:val="00453813"/>
    <w:rsid w:val="00454175"/>
    <w:rsid w:val="00454920"/>
    <w:rsid w:val="0045544A"/>
    <w:rsid w:val="00455AF9"/>
    <w:rsid w:val="00460EF6"/>
    <w:rsid w:val="00462367"/>
    <w:rsid w:val="00462765"/>
    <w:rsid w:val="00462ADC"/>
    <w:rsid w:val="00463BC7"/>
    <w:rsid w:val="0046610B"/>
    <w:rsid w:val="00470AAD"/>
    <w:rsid w:val="0047436B"/>
    <w:rsid w:val="00477437"/>
    <w:rsid w:val="00480E32"/>
    <w:rsid w:val="00485F25"/>
    <w:rsid w:val="00493C37"/>
    <w:rsid w:val="0049553D"/>
    <w:rsid w:val="004A06F1"/>
    <w:rsid w:val="004A0824"/>
    <w:rsid w:val="004A107B"/>
    <w:rsid w:val="004A2298"/>
    <w:rsid w:val="004B005E"/>
    <w:rsid w:val="004B0F3B"/>
    <w:rsid w:val="004B1964"/>
    <w:rsid w:val="004B2D25"/>
    <w:rsid w:val="004B5C9D"/>
    <w:rsid w:val="004B6349"/>
    <w:rsid w:val="004B6545"/>
    <w:rsid w:val="004C1BE9"/>
    <w:rsid w:val="004C1FF3"/>
    <w:rsid w:val="004C5758"/>
    <w:rsid w:val="004C6C97"/>
    <w:rsid w:val="004C7E24"/>
    <w:rsid w:val="004D026D"/>
    <w:rsid w:val="004E101A"/>
    <w:rsid w:val="004E1DC7"/>
    <w:rsid w:val="004E32B5"/>
    <w:rsid w:val="004E499A"/>
    <w:rsid w:val="004E6ED5"/>
    <w:rsid w:val="004F183F"/>
    <w:rsid w:val="004F1907"/>
    <w:rsid w:val="004F1CC2"/>
    <w:rsid w:val="004F4C01"/>
    <w:rsid w:val="005042E5"/>
    <w:rsid w:val="0050560E"/>
    <w:rsid w:val="005113EA"/>
    <w:rsid w:val="00517BE6"/>
    <w:rsid w:val="0052252B"/>
    <w:rsid w:val="0052344F"/>
    <w:rsid w:val="00531F9B"/>
    <w:rsid w:val="005331F3"/>
    <w:rsid w:val="00534A75"/>
    <w:rsid w:val="00536930"/>
    <w:rsid w:val="00537015"/>
    <w:rsid w:val="00544063"/>
    <w:rsid w:val="00545DED"/>
    <w:rsid w:val="00552BF2"/>
    <w:rsid w:val="00552E17"/>
    <w:rsid w:val="0055321A"/>
    <w:rsid w:val="005538BA"/>
    <w:rsid w:val="005547A9"/>
    <w:rsid w:val="005574B7"/>
    <w:rsid w:val="005600BC"/>
    <w:rsid w:val="00561379"/>
    <w:rsid w:val="00562DDC"/>
    <w:rsid w:val="00562EA5"/>
    <w:rsid w:val="00564750"/>
    <w:rsid w:val="00564A33"/>
    <w:rsid w:val="00565863"/>
    <w:rsid w:val="005700DE"/>
    <w:rsid w:val="00573185"/>
    <w:rsid w:val="00574433"/>
    <w:rsid w:val="0057584B"/>
    <w:rsid w:val="005779FC"/>
    <w:rsid w:val="00577F04"/>
    <w:rsid w:val="00586521"/>
    <w:rsid w:val="00586A7C"/>
    <w:rsid w:val="0059103A"/>
    <w:rsid w:val="00592413"/>
    <w:rsid w:val="005963C2"/>
    <w:rsid w:val="005A3EC2"/>
    <w:rsid w:val="005B11A8"/>
    <w:rsid w:val="005B47F8"/>
    <w:rsid w:val="005B651D"/>
    <w:rsid w:val="005C4A51"/>
    <w:rsid w:val="005C4F2A"/>
    <w:rsid w:val="005C7F89"/>
    <w:rsid w:val="005D29AF"/>
    <w:rsid w:val="005D5BCD"/>
    <w:rsid w:val="005D771D"/>
    <w:rsid w:val="005E0936"/>
    <w:rsid w:val="005E1157"/>
    <w:rsid w:val="005E36C2"/>
    <w:rsid w:val="005E7990"/>
    <w:rsid w:val="005F2117"/>
    <w:rsid w:val="005F30A4"/>
    <w:rsid w:val="005F415A"/>
    <w:rsid w:val="005F4B09"/>
    <w:rsid w:val="005F7112"/>
    <w:rsid w:val="006028EE"/>
    <w:rsid w:val="006049C0"/>
    <w:rsid w:val="0061477C"/>
    <w:rsid w:val="00615237"/>
    <w:rsid w:val="006237B6"/>
    <w:rsid w:val="00625F2A"/>
    <w:rsid w:val="006268E8"/>
    <w:rsid w:val="00626A95"/>
    <w:rsid w:val="006342A6"/>
    <w:rsid w:val="006364B1"/>
    <w:rsid w:val="00636CBE"/>
    <w:rsid w:val="00637B5D"/>
    <w:rsid w:val="00640AC4"/>
    <w:rsid w:val="00642824"/>
    <w:rsid w:val="00644E86"/>
    <w:rsid w:val="00645B96"/>
    <w:rsid w:val="00645E3A"/>
    <w:rsid w:val="00646D3A"/>
    <w:rsid w:val="00647348"/>
    <w:rsid w:val="00647B64"/>
    <w:rsid w:val="00650D9F"/>
    <w:rsid w:val="00651024"/>
    <w:rsid w:val="00654404"/>
    <w:rsid w:val="00656948"/>
    <w:rsid w:val="00660184"/>
    <w:rsid w:val="0066053C"/>
    <w:rsid w:val="00660784"/>
    <w:rsid w:val="00661118"/>
    <w:rsid w:val="00663BA3"/>
    <w:rsid w:val="00665DB1"/>
    <w:rsid w:val="006664FF"/>
    <w:rsid w:val="006701C5"/>
    <w:rsid w:val="00671637"/>
    <w:rsid w:val="006720A1"/>
    <w:rsid w:val="00672137"/>
    <w:rsid w:val="00672687"/>
    <w:rsid w:val="00673790"/>
    <w:rsid w:val="00677655"/>
    <w:rsid w:val="00677A14"/>
    <w:rsid w:val="00680117"/>
    <w:rsid w:val="00681272"/>
    <w:rsid w:val="00686235"/>
    <w:rsid w:val="00691D64"/>
    <w:rsid w:val="00692CE4"/>
    <w:rsid w:val="00693039"/>
    <w:rsid w:val="006A1CD3"/>
    <w:rsid w:val="006A2605"/>
    <w:rsid w:val="006A5A88"/>
    <w:rsid w:val="006B1E04"/>
    <w:rsid w:val="006B4E21"/>
    <w:rsid w:val="006B6C51"/>
    <w:rsid w:val="006B772B"/>
    <w:rsid w:val="006C1589"/>
    <w:rsid w:val="006C235D"/>
    <w:rsid w:val="006C2474"/>
    <w:rsid w:val="006C5236"/>
    <w:rsid w:val="006C5C23"/>
    <w:rsid w:val="006D1E28"/>
    <w:rsid w:val="006D605A"/>
    <w:rsid w:val="006D7255"/>
    <w:rsid w:val="006E1AC7"/>
    <w:rsid w:val="006E72D8"/>
    <w:rsid w:val="006F39CD"/>
    <w:rsid w:val="006F66C7"/>
    <w:rsid w:val="00706287"/>
    <w:rsid w:val="0070737A"/>
    <w:rsid w:val="0071003E"/>
    <w:rsid w:val="00712CEA"/>
    <w:rsid w:val="0071321E"/>
    <w:rsid w:val="00713409"/>
    <w:rsid w:val="00715B2F"/>
    <w:rsid w:val="007255AB"/>
    <w:rsid w:val="00726E71"/>
    <w:rsid w:val="007328C9"/>
    <w:rsid w:val="00735ABA"/>
    <w:rsid w:val="00741104"/>
    <w:rsid w:val="00741E02"/>
    <w:rsid w:val="0074527B"/>
    <w:rsid w:val="00751989"/>
    <w:rsid w:val="00752F41"/>
    <w:rsid w:val="00757795"/>
    <w:rsid w:val="00757DD1"/>
    <w:rsid w:val="00763D59"/>
    <w:rsid w:val="00765BC4"/>
    <w:rsid w:val="00766F06"/>
    <w:rsid w:val="00780181"/>
    <w:rsid w:val="00781858"/>
    <w:rsid w:val="0078302D"/>
    <w:rsid w:val="007842CA"/>
    <w:rsid w:val="00784563"/>
    <w:rsid w:val="007921E1"/>
    <w:rsid w:val="00795179"/>
    <w:rsid w:val="007962DA"/>
    <w:rsid w:val="007973B1"/>
    <w:rsid w:val="007A0725"/>
    <w:rsid w:val="007A3A13"/>
    <w:rsid w:val="007B1490"/>
    <w:rsid w:val="007B39ED"/>
    <w:rsid w:val="007B3CC3"/>
    <w:rsid w:val="007C226D"/>
    <w:rsid w:val="007C4AE9"/>
    <w:rsid w:val="007C4B33"/>
    <w:rsid w:val="007C586F"/>
    <w:rsid w:val="007D5E07"/>
    <w:rsid w:val="007E147B"/>
    <w:rsid w:val="007E2A8E"/>
    <w:rsid w:val="007E2C4E"/>
    <w:rsid w:val="007F2CBC"/>
    <w:rsid w:val="007F3A22"/>
    <w:rsid w:val="007F6CCA"/>
    <w:rsid w:val="008038B4"/>
    <w:rsid w:val="00803D69"/>
    <w:rsid w:val="00810069"/>
    <w:rsid w:val="0081036A"/>
    <w:rsid w:val="00813964"/>
    <w:rsid w:val="00817D05"/>
    <w:rsid w:val="008202CD"/>
    <w:rsid w:val="0082272E"/>
    <w:rsid w:val="00823615"/>
    <w:rsid w:val="00826F2E"/>
    <w:rsid w:val="00833ED5"/>
    <w:rsid w:val="008412BD"/>
    <w:rsid w:val="00843EE8"/>
    <w:rsid w:val="0084475E"/>
    <w:rsid w:val="00844E76"/>
    <w:rsid w:val="00844F66"/>
    <w:rsid w:val="00847C55"/>
    <w:rsid w:val="00850007"/>
    <w:rsid w:val="00850849"/>
    <w:rsid w:val="0085107B"/>
    <w:rsid w:val="0085454F"/>
    <w:rsid w:val="00861510"/>
    <w:rsid w:val="00862AF8"/>
    <w:rsid w:val="008655DC"/>
    <w:rsid w:val="00866EE7"/>
    <w:rsid w:val="008725DA"/>
    <w:rsid w:val="00876468"/>
    <w:rsid w:val="00880D8C"/>
    <w:rsid w:val="00881C39"/>
    <w:rsid w:val="00882D5B"/>
    <w:rsid w:val="00883E25"/>
    <w:rsid w:val="00885E91"/>
    <w:rsid w:val="0089050A"/>
    <w:rsid w:val="00890F03"/>
    <w:rsid w:val="00892DA8"/>
    <w:rsid w:val="00893863"/>
    <w:rsid w:val="00894DD1"/>
    <w:rsid w:val="008A06B8"/>
    <w:rsid w:val="008A0793"/>
    <w:rsid w:val="008A1D01"/>
    <w:rsid w:val="008A5B12"/>
    <w:rsid w:val="008A5C75"/>
    <w:rsid w:val="008A640C"/>
    <w:rsid w:val="008A6CC3"/>
    <w:rsid w:val="008A6D5A"/>
    <w:rsid w:val="008B4FC1"/>
    <w:rsid w:val="008B6DB4"/>
    <w:rsid w:val="008C0A88"/>
    <w:rsid w:val="008C38D9"/>
    <w:rsid w:val="008C3F03"/>
    <w:rsid w:val="008C4618"/>
    <w:rsid w:val="008D01F7"/>
    <w:rsid w:val="008D0747"/>
    <w:rsid w:val="008D0D2F"/>
    <w:rsid w:val="008D1EFC"/>
    <w:rsid w:val="008D5354"/>
    <w:rsid w:val="008E7880"/>
    <w:rsid w:val="008F0CAF"/>
    <w:rsid w:val="008F1FC0"/>
    <w:rsid w:val="008F297D"/>
    <w:rsid w:val="008F5A41"/>
    <w:rsid w:val="008F77F6"/>
    <w:rsid w:val="00901956"/>
    <w:rsid w:val="00902AFB"/>
    <w:rsid w:val="00902E9A"/>
    <w:rsid w:val="00905D1A"/>
    <w:rsid w:val="00910F11"/>
    <w:rsid w:val="00914D68"/>
    <w:rsid w:val="00914FE8"/>
    <w:rsid w:val="00922131"/>
    <w:rsid w:val="00924A71"/>
    <w:rsid w:val="009256FE"/>
    <w:rsid w:val="00926901"/>
    <w:rsid w:val="00926D81"/>
    <w:rsid w:val="00927E3F"/>
    <w:rsid w:val="00932E65"/>
    <w:rsid w:val="00933E66"/>
    <w:rsid w:val="00936F7F"/>
    <w:rsid w:val="009405CE"/>
    <w:rsid w:val="009435AC"/>
    <w:rsid w:val="00944700"/>
    <w:rsid w:val="00945E84"/>
    <w:rsid w:val="0095039A"/>
    <w:rsid w:val="00953B2F"/>
    <w:rsid w:val="00953C31"/>
    <w:rsid w:val="00955DF3"/>
    <w:rsid w:val="00962E96"/>
    <w:rsid w:val="009775D2"/>
    <w:rsid w:val="00986937"/>
    <w:rsid w:val="00986E4D"/>
    <w:rsid w:val="009871C8"/>
    <w:rsid w:val="0098723C"/>
    <w:rsid w:val="0099304C"/>
    <w:rsid w:val="009934FE"/>
    <w:rsid w:val="00995472"/>
    <w:rsid w:val="0099793D"/>
    <w:rsid w:val="00997FFE"/>
    <w:rsid w:val="009A7FD2"/>
    <w:rsid w:val="009B308C"/>
    <w:rsid w:val="009B3177"/>
    <w:rsid w:val="009B5EF7"/>
    <w:rsid w:val="009C0027"/>
    <w:rsid w:val="009C24A5"/>
    <w:rsid w:val="009C2649"/>
    <w:rsid w:val="009C4E3B"/>
    <w:rsid w:val="009C65BD"/>
    <w:rsid w:val="009C7C53"/>
    <w:rsid w:val="009E1DB7"/>
    <w:rsid w:val="009F1611"/>
    <w:rsid w:val="009F4C7D"/>
    <w:rsid w:val="00A0003C"/>
    <w:rsid w:val="00A04BEE"/>
    <w:rsid w:val="00A06239"/>
    <w:rsid w:val="00A06AB3"/>
    <w:rsid w:val="00A076D8"/>
    <w:rsid w:val="00A12027"/>
    <w:rsid w:val="00A148F0"/>
    <w:rsid w:val="00A151A6"/>
    <w:rsid w:val="00A16711"/>
    <w:rsid w:val="00A1749B"/>
    <w:rsid w:val="00A20188"/>
    <w:rsid w:val="00A2033A"/>
    <w:rsid w:val="00A23158"/>
    <w:rsid w:val="00A24B97"/>
    <w:rsid w:val="00A24F8B"/>
    <w:rsid w:val="00A2504E"/>
    <w:rsid w:val="00A26011"/>
    <w:rsid w:val="00A32057"/>
    <w:rsid w:val="00A32754"/>
    <w:rsid w:val="00A339AB"/>
    <w:rsid w:val="00A37529"/>
    <w:rsid w:val="00A45034"/>
    <w:rsid w:val="00A4726C"/>
    <w:rsid w:val="00A516A8"/>
    <w:rsid w:val="00A548BD"/>
    <w:rsid w:val="00A57C9F"/>
    <w:rsid w:val="00A60336"/>
    <w:rsid w:val="00A6687C"/>
    <w:rsid w:val="00A67C5D"/>
    <w:rsid w:val="00A70510"/>
    <w:rsid w:val="00A7432A"/>
    <w:rsid w:val="00A75370"/>
    <w:rsid w:val="00A81412"/>
    <w:rsid w:val="00A84609"/>
    <w:rsid w:val="00A86576"/>
    <w:rsid w:val="00A869A4"/>
    <w:rsid w:val="00A943DB"/>
    <w:rsid w:val="00A95194"/>
    <w:rsid w:val="00A95625"/>
    <w:rsid w:val="00A95F8F"/>
    <w:rsid w:val="00AA55C2"/>
    <w:rsid w:val="00AB2ECD"/>
    <w:rsid w:val="00AB52A0"/>
    <w:rsid w:val="00AB6232"/>
    <w:rsid w:val="00AB706B"/>
    <w:rsid w:val="00AB7CD3"/>
    <w:rsid w:val="00AC17F2"/>
    <w:rsid w:val="00AC29A2"/>
    <w:rsid w:val="00AC479C"/>
    <w:rsid w:val="00AC6C94"/>
    <w:rsid w:val="00AD513A"/>
    <w:rsid w:val="00AE106B"/>
    <w:rsid w:val="00AE11A8"/>
    <w:rsid w:val="00AE23A1"/>
    <w:rsid w:val="00AE4F33"/>
    <w:rsid w:val="00AE72DF"/>
    <w:rsid w:val="00AF19B5"/>
    <w:rsid w:val="00AF2025"/>
    <w:rsid w:val="00AF3BDE"/>
    <w:rsid w:val="00AF4DB8"/>
    <w:rsid w:val="00B1367F"/>
    <w:rsid w:val="00B13E42"/>
    <w:rsid w:val="00B17091"/>
    <w:rsid w:val="00B212D7"/>
    <w:rsid w:val="00B214CB"/>
    <w:rsid w:val="00B234B9"/>
    <w:rsid w:val="00B25875"/>
    <w:rsid w:val="00B275D2"/>
    <w:rsid w:val="00B3183E"/>
    <w:rsid w:val="00B40A78"/>
    <w:rsid w:val="00B43216"/>
    <w:rsid w:val="00B43BAB"/>
    <w:rsid w:val="00B444C8"/>
    <w:rsid w:val="00B45964"/>
    <w:rsid w:val="00B462F8"/>
    <w:rsid w:val="00B46679"/>
    <w:rsid w:val="00B516BA"/>
    <w:rsid w:val="00B5444C"/>
    <w:rsid w:val="00B55D5A"/>
    <w:rsid w:val="00B60BD3"/>
    <w:rsid w:val="00B61A86"/>
    <w:rsid w:val="00B62677"/>
    <w:rsid w:val="00B67E06"/>
    <w:rsid w:val="00B70805"/>
    <w:rsid w:val="00B84B6B"/>
    <w:rsid w:val="00B84F1C"/>
    <w:rsid w:val="00B8588B"/>
    <w:rsid w:val="00B8726C"/>
    <w:rsid w:val="00B90EEE"/>
    <w:rsid w:val="00B925E8"/>
    <w:rsid w:val="00B97BA0"/>
    <w:rsid w:val="00BA12A8"/>
    <w:rsid w:val="00BA4D74"/>
    <w:rsid w:val="00BB04E0"/>
    <w:rsid w:val="00BB0BDD"/>
    <w:rsid w:val="00BB444C"/>
    <w:rsid w:val="00BB60BF"/>
    <w:rsid w:val="00BB7C5E"/>
    <w:rsid w:val="00BC1E9B"/>
    <w:rsid w:val="00BC6299"/>
    <w:rsid w:val="00BC734F"/>
    <w:rsid w:val="00BD0DBC"/>
    <w:rsid w:val="00BD26C9"/>
    <w:rsid w:val="00BD44CC"/>
    <w:rsid w:val="00BE11AF"/>
    <w:rsid w:val="00BE6632"/>
    <w:rsid w:val="00BE68A8"/>
    <w:rsid w:val="00BF0609"/>
    <w:rsid w:val="00BF3068"/>
    <w:rsid w:val="00BF4B6B"/>
    <w:rsid w:val="00BF5F3A"/>
    <w:rsid w:val="00C01377"/>
    <w:rsid w:val="00C04401"/>
    <w:rsid w:val="00C076BF"/>
    <w:rsid w:val="00C07958"/>
    <w:rsid w:val="00C079A8"/>
    <w:rsid w:val="00C12DE7"/>
    <w:rsid w:val="00C16D6C"/>
    <w:rsid w:val="00C21590"/>
    <w:rsid w:val="00C2174A"/>
    <w:rsid w:val="00C23C83"/>
    <w:rsid w:val="00C256F5"/>
    <w:rsid w:val="00C3264F"/>
    <w:rsid w:val="00C33174"/>
    <w:rsid w:val="00C36DA5"/>
    <w:rsid w:val="00C42A96"/>
    <w:rsid w:val="00C4418B"/>
    <w:rsid w:val="00C50108"/>
    <w:rsid w:val="00C528B2"/>
    <w:rsid w:val="00C62799"/>
    <w:rsid w:val="00C627AE"/>
    <w:rsid w:val="00C63196"/>
    <w:rsid w:val="00C658E3"/>
    <w:rsid w:val="00C673E0"/>
    <w:rsid w:val="00C71F9C"/>
    <w:rsid w:val="00C73CE0"/>
    <w:rsid w:val="00C80E21"/>
    <w:rsid w:val="00C81D44"/>
    <w:rsid w:val="00C82A75"/>
    <w:rsid w:val="00C85F09"/>
    <w:rsid w:val="00C9081F"/>
    <w:rsid w:val="00C9142E"/>
    <w:rsid w:val="00C973FF"/>
    <w:rsid w:val="00C9798E"/>
    <w:rsid w:val="00C97D03"/>
    <w:rsid w:val="00CA6C18"/>
    <w:rsid w:val="00CA72EB"/>
    <w:rsid w:val="00CB1CA9"/>
    <w:rsid w:val="00CB6AED"/>
    <w:rsid w:val="00CC3647"/>
    <w:rsid w:val="00CC3A59"/>
    <w:rsid w:val="00CC5B06"/>
    <w:rsid w:val="00CC7011"/>
    <w:rsid w:val="00CC754D"/>
    <w:rsid w:val="00CD0F61"/>
    <w:rsid w:val="00CD1A5E"/>
    <w:rsid w:val="00CD22C9"/>
    <w:rsid w:val="00CD2F0D"/>
    <w:rsid w:val="00CD3147"/>
    <w:rsid w:val="00CD45F7"/>
    <w:rsid w:val="00CD7070"/>
    <w:rsid w:val="00CE4DAC"/>
    <w:rsid w:val="00CE4E32"/>
    <w:rsid w:val="00CE58FE"/>
    <w:rsid w:val="00CE6837"/>
    <w:rsid w:val="00CF1915"/>
    <w:rsid w:val="00CF5379"/>
    <w:rsid w:val="00CF6335"/>
    <w:rsid w:val="00D01956"/>
    <w:rsid w:val="00D053CA"/>
    <w:rsid w:val="00D061FC"/>
    <w:rsid w:val="00D1181F"/>
    <w:rsid w:val="00D12575"/>
    <w:rsid w:val="00D1266C"/>
    <w:rsid w:val="00D14518"/>
    <w:rsid w:val="00D14C1F"/>
    <w:rsid w:val="00D14D11"/>
    <w:rsid w:val="00D15E13"/>
    <w:rsid w:val="00D16FE6"/>
    <w:rsid w:val="00D22209"/>
    <w:rsid w:val="00D22F12"/>
    <w:rsid w:val="00D253BF"/>
    <w:rsid w:val="00D25F81"/>
    <w:rsid w:val="00D26A1B"/>
    <w:rsid w:val="00D30B3B"/>
    <w:rsid w:val="00D31902"/>
    <w:rsid w:val="00D3430A"/>
    <w:rsid w:val="00D3454E"/>
    <w:rsid w:val="00D34C92"/>
    <w:rsid w:val="00D36FE6"/>
    <w:rsid w:val="00D37B49"/>
    <w:rsid w:val="00D413EE"/>
    <w:rsid w:val="00D455CA"/>
    <w:rsid w:val="00D46432"/>
    <w:rsid w:val="00D50CE7"/>
    <w:rsid w:val="00D511A8"/>
    <w:rsid w:val="00D520D3"/>
    <w:rsid w:val="00D52BAE"/>
    <w:rsid w:val="00D53540"/>
    <w:rsid w:val="00D5384E"/>
    <w:rsid w:val="00D545BC"/>
    <w:rsid w:val="00D61EAB"/>
    <w:rsid w:val="00D6308C"/>
    <w:rsid w:val="00D65325"/>
    <w:rsid w:val="00D65721"/>
    <w:rsid w:val="00D66EC6"/>
    <w:rsid w:val="00D74B6B"/>
    <w:rsid w:val="00D76120"/>
    <w:rsid w:val="00D76174"/>
    <w:rsid w:val="00D80D51"/>
    <w:rsid w:val="00D81965"/>
    <w:rsid w:val="00D83D30"/>
    <w:rsid w:val="00D842E4"/>
    <w:rsid w:val="00D86477"/>
    <w:rsid w:val="00D90425"/>
    <w:rsid w:val="00D9687E"/>
    <w:rsid w:val="00D97621"/>
    <w:rsid w:val="00DA083D"/>
    <w:rsid w:val="00DA1625"/>
    <w:rsid w:val="00DA696C"/>
    <w:rsid w:val="00DB07BB"/>
    <w:rsid w:val="00DB149C"/>
    <w:rsid w:val="00DC55D8"/>
    <w:rsid w:val="00DC6BB8"/>
    <w:rsid w:val="00DD0EEC"/>
    <w:rsid w:val="00DD1D34"/>
    <w:rsid w:val="00DD3A55"/>
    <w:rsid w:val="00DD66A8"/>
    <w:rsid w:val="00DE5E0E"/>
    <w:rsid w:val="00DE7367"/>
    <w:rsid w:val="00DF174D"/>
    <w:rsid w:val="00DF2A10"/>
    <w:rsid w:val="00DF3DF3"/>
    <w:rsid w:val="00DF4703"/>
    <w:rsid w:val="00DF7901"/>
    <w:rsid w:val="00E0084D"/>
    <w:rsid w:val="00E0176F"/>
    <w:rsid w:val="00E02A39"/>
    <w:rsid w:val="00E0357F"/>
    <w:rsid w:val="00E04230"/>
    <w:rsid w:val="00E058F8"/>
    <w:rsid w:val="00E068E6"/>
    <w:rsid w:val="00E07210"/>
    <w:rsid w:val="00E12FE7"/>
    <w:rsid w:val="00E15CA8"/>
    <w:rsid w:val="00E17138"/>
    <w:rsid w:val="00E17200"/>
    <w:rsid w:val="00E2205E"/>
    <w:rsid w:val="00E26E03"/>
    <w:rsid w:val="00E26F47"/>
    <w:rsid w:val="00E322D7"/>
    <w:rsid w:val="00E32C23"/>
    <w:rsid w:val="00E3356E"/>
    <w:rsid w:val="00E33C02"/>
    <w:rsid w:val="00E33E2D"/>
    <w:rsid w:val="00E340E9"/>
    <w:rsid w:val="00E35807"/>
    <w:rsid w:val="00E40180"/>
    <w:rsid w:val="00E43F6D"/>
    <w:rsid w:val="00E52578"/>
    <w:rsid w:val="00E528FF"/>
    <w:rsid w:val="00E5591C"/>
    <w:rsid w:val="00E57B63"/>
    <w:rsid w:val="00E6128D"/>
    <w:rsid w:val="00E64EC4"/>
    <w:rsid w:val="00E73395"/>
    <w:rsid w:val="00E734C3"/>
    <w:rsid w:val="00E73D3B"/>
    <w:rsid w:val="00E74095"/>
    <w:rsid w:val="00E80A6D"/>
    <w:rsid w:val="00E82307"/>
    <w:rsid w:val="00E82A1D"/>
    <w:rsid w:val="00E91501"/>
    <w:rsid w:val="00E926C1"/>
    <w:rsid w:val="00E93744"/>
    <w:rsid w:val="00E9549F"/>
    <w:rsid w:val="00EA0A25"/>
    <w:rsid w:val="00EA0F60"/>
    <w:rsid w:val="00EA55DC"/>
    <w:rsid w:val="00EA58DC"/>
    <w:rsid w:val="00EA77D8"/>
    <w:rsid w:val="00EA7F42"/>
    <w:rsid w:val="00EB2EC7"/>
    <w:rsid w:val="00EB3055"/>
    <w:rsid w:val="00EB6E71"/>
    <w:rsid w:val="00EC61D3"/>
    <w:rsid w:val="00EC6E4D"/>
    <w:rsid w:val="00ED1BD2"/>
    <w:rsid w:val="00ED2217"/>
    <w:rsid w:val="00ED27F1"/>
    <w:rsid w:val="00ED295F"/>
    <w:rsid w:val="00ED35FB"/>
    <w:rsid w:val="00ED4E08"/>
    <w:rsid w:val="00ED762D"/>
    <w:rsid w:val="00EE0496"/>
    <w:rsid w:val="00EE390D"/>
    <w:rsid w:val="00EE7B59"/>
    <w:rsid w:val="00EF31F9"/>
    <w:rsid w:val="00EF4F0C"/>
    <w:rsid w:val="00F03369"/>
    <w:rsid w:val="00F03AC1"/>
    <w:rsid w:val="00F0781E"/>
    <w:rsid w:val="00F114B5"/>
    <w:rsid w:val="00F1169A"/>
    <w:rsid w:val="00F12F0B"/>
    <w:rsid w:val="00F14625"/>
    <w:rsid w:val="00F21234"/>
    <w:rsid w:val="00F230F8"/>
    <w:rsid w:val="00F2414B"/>
    <w:rsid w:val="00F25E18"/>
    <w:rsid w:val="00F30B30"/>
    <w:rsid w:val="00F32D17"/>
    <w:rsid w:val="00F359D9"/>
    <w:rsid w:val="00F46588"/>
    <w:rsid w:val="00F47C9A"/>
    <w:rsid w:val="00F5739D"/>
    <w:rsid w:val="00F60C86"/>
    <w:rsid w:val="00F67161"/>
    <w:rsid w:val="00F74157"/>
    <w:rsid w:val="00F74DF1"/>
    <w:rsid w:val="00F75E73"/>
    <w:rsid w:val="00F81990"/>
    <w:rsid w:val="00F857CE"/>
    <w:rsid w:val="00F86D54"/>
    <w:rsid w:val="00F95584"/>
    <w:rsid w:val="00F9591B"/>
    <w:rsid w:val="00F95B53"/>
    <w:rsid w:val="00FA0F82"/>
    <w:rsid w:val="00FA6B12"/>
    <w:rsid w:val="00FA7F2C"/>
    <w:rsid w:val="00FB6432"/>
    <w:rsid w:val="00FB77A5"/>
    <w:rsid w:val="00FC1090"/>
    <w:rsid w:val="00FC5958"/>
    <w:rsid w:val="00FD3EB6"/>
    <w:rsid w:val="00FD6D4B"/>
    <w:rsid w:val="00FE1686"/>
    <w:rsid w:val="00FE1942"/>
    <w:rsid w:val="00FE1C00"/>
    <w:rsid w:val="00FE2E42"/>
    <w:rsid w:val="00FE5987"/>
    <w:rsid w:val="00FF079F"/>
    <w:rsid w:val="00FF1C2C"/>
    <w:rsid w:val="00FF3D89"/>
    <w:rsid w:val="00FF3E8B"/>
    <w:rsid w:val="00FF6F84"/>
    <w:rsid w:val="00FF7440"/>
    <w:rsid w:val="0313C6DA"/>
    <w:rsid w:val="0447D6F9"/>
    <w:rsid w:val="04CA25CB"/>
    <w:rsid w:val="0A6B1EE7"/>
    <w:rsid w:val="0C609EDE"/>
    <w:rsid w:val="10633AAD"/>
    <w:rsid w:val="1094BECD"/>
    <w:rsid w:val="16526B81"/>
    <w:rsid w:val="16AF36B7"/>
    <w:rsid w:val="16EDC043"/>
    <w:rsid w:val="187547E0"/>
    <w:rsid w:val="1AC70805"/>
    <w:rsid w:val="1ACE86D9"/>
    <w:rsid w:val="1D515D3E"/>
    <w:rsid w:val="2170B282"/>
    <w:rsid w:val="2429E3B2"/>
    <w:rsid w:val="2999F55C"/>
    <w:rsid w:val="2BE4D904"/>
    <w:rsid w:val="30CF40DD"/>
    <w:rsid w:val="320604B8"/>
    <w:rsid w:val="36031C3C"/>
    <w:rsid w:val="36199609"/>
    <w:rsid w:val="370F51CA"/>
    <w:rsid w:val="3919E9F6"/>
    <w:rsid w:val="3B31FF53"/>
    <w:rsid w:val="3D7DD9B6"/>
    <w:rsid w:val="41445289"/>
    <w:rsid w:val="441F16F1"/>
    <w:rsid w:val="45A1D124"/>
    <w:rsid w:val="46DC5914"/>
    <w:rsid w:val="46F51C73"/>
    <w:rsid w:val="4C4CBBD6"/>
    <w:rsid w:val="4CFD3161"/>
    <w:rsid w:val="4D1BAC6E"/>
    <w:rsid w:val="4E6E6332"/>
    <w:rsid w:val="50D90DEF"/>
    <w:rsid w:val="51FDC253"/>
    <w:rsid w:val="53E09472"/>
    <w:rsid w:val="54A0AEEA"/>
    <w:rsid w:val="59005749"/>
    <w:rsid w:val="5A3200D9"/>
    <w:rsid w:val="5E42D04A"/>
    <w:rsid w:val="5E9DAF59"/>
    <w:rsid w:val="61141A50"/>
    <w:rsid w:val="63450D11"/>
    <w:rsid w:val="66B245C3"/>
    <w:rsid w:val="6808F394"/>
    <w:rsid w:val="69BDEC52"/>
    <w:rsid w:val="6D8C5FAB"/>
    <w:rsid w:val="6EB6EC6D"/>
    <w:rsid w:val="70BF53AD"/>
    <w:rsid w:val="74F17407"/>
    <w:rsid w:val="773BA8C1"/>
    <w:rsid w:val="7CA86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D08"/>
  <w15:chartTrackingRefBased/>
  <w15:docId w15:val="{44F9AB0D-8D3A-C044-AD55-654248BA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ntemps Games"/>
    <w:qFormat/>
    <w:rsid w:val="0035704D"/>
    <w:rPr>
      <w:rFonts w:ascii="Work Sans" w:hAnsi="Work San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76F"/>
    <w:rPr>
      <w:sz w:val="16"/>
      <w:szCs w:val="16"/>
    </w:rPr>
  </w:style>
  <w:style w:type="paragraph" w:styleId="CommentText">
    <w:name w:val="annotation text"/>
    <w:basedOn w:val="Normal"/>
    <w:link w:val="CommentTextChar"/>
    <w:uiPriority w:val="99"/>
    <w:unhideWhenUsed/>
    <w:rsid w:val="00E0176F"/>
    <w:rPr>
      <w:sz w:val="20"/>
      <w:szCs w:val="20"/>
    </w:rPr>
  </w:style>
  <w:style w:type="character" w:customStyle="1" w:styleId="CommentTextChar">
    <w:name w:val="Comment Text Char"/>
    <w:basedOn w:val="DefaultParagraphFont"/>
    <w:link w:val="CommentText"/>
    <w:uiPriority w:val="99"/>
    <w:rsid w:val="00E0176F"/>
    <w:rPr>
      <w:rFonts w:ascii="Work Sans" w:hAnsi="Work Sans"/>
      <w:sz w:val="20"/>
      <w:szCs w:val="20"/>
    </w:rPr>
  </w:style>
  <w:style w:type="paragraph" w:styleId="CommentSubject">
    <w:name w:val="annotation subject"/>
    <w:basedOn w:val="CommentText"/>
    <w:next w:val="CommentText"/>
    <w:link w:val="CommentSubjectChar"/>
    <w:uiPriority w:val="99"/>
    <w:semiHidden/>
    <w:unhideWhenUsed/>
    <w:rsid w:val="00E0176F"/>
    <w:rPr>
      <w:b/>
      <w:bCs/>
    </w:rPr>
  </w:style>
  <w:style w:type="character" w:customStyle="1" w:styleId="CommentSubjectChar">
    <w:name w:val="Comment Subject Char"/>
    <w:basedOn w:val="CommentTextChar"/>
    <w:link w:val="CommentSubject"/>
    <w:uiPriority w:val="99"/>
    <w:semiHidden/>
    <w:rsid w:val="00E0176F"/>
    <w:rPr>
      <w:rFonts w:ascii="Work Sans" w:hAnsi="Work Sans"/>
      <w:b/>
      <w:bCs/>
      <w:sz w:val="20"/>
      <w:szCs w:val="20"/>
    </w:rPr>
  </w:style>
  <w:style w:type="paragraph" w:styleId="Revision">
    <w:name w:val="Revision"/>
    <w:hidden/>
    <w:uiPriority w:val="99"/>
    <w:semiHidden/>
    <w:rsid w:val="00565863"/>
    <w:rPr>
      <w:rFonts w:ascii="Work Sans" w:hAnsi="Work Sans"/>
      <w:sz w:val="22"/>
    </w:rPr>
  </w:style>
  <w:style w:type="paragraph" w:styleId="Header">
    <w:name w:val="header"/>
    <w:basedOn w:val="Normal"/>
    <w:link w:val="HeaderChar"/>
    <w:uiPriority w:val="99"/>
    <w:unhideWhenUsed/>
    <w:rsid w:val="00552E17"/>
    <w:pPr>
      <w:tabs>
        <w:tab w:val="center" w:pos="4513"/>
        <w:tab w:val="right" w:pos="9026"/>
      </w:tabs>
    </w:pPr>
  </w:style>
  <w:style w:type="character" w:customStyle="1" w:styleId="HeaderChar">
    <w:name w:val="Header Char"/>
    <w:basedOn w:val="DefaultParagraphFont"/>
    <w:link w:val="Header"/>
    <w:uiPriority w:val="99"/>
    <w:rsid w:val="00552E17"/>
    <w:rPr>
      <w:rFonts w:ascii="Work Sans" w:hAnsi="Work Sans"/>
      <w:sz w:val="22"/>
    </w:rPr>
  </w:style>
  <w:style w:type="paragraph" w:styleId="Footer">
    <w:name w:val="footer"/>
    <w:basedOn w:val="Normal"/>
    <w:link w:val="FooterChar"/>
    <w:uiPriority w:val="99"/>
    <w:unhideWhenUsed/>
    <w:rsid w:val="00552E17"/>
    <w:pPr>
      <w:tabs>
        <w:tab w:val="center" w:pos="4513"/>
        <w:tab w:val="right" w:pos="9026"/>
      </w:tabs>
    </w:pPr>
  </w:style>
  <w:style w:type="character" w:customStyle="1" w:styleId="FooterChar">
    <w:name w:val="Footer Char"/>
    <w:basedOn w:val="DefaultParagraphFont"/>
    <w:link w:val="Footer"/>
    <w:uiPriority w:val="99"/>
    <w:rsid w:val="00552E17"/>
    <w:rPr>
      <w:rFonts w:ascii="Work Sans" w:hAnsi="Work Sans"/>
      <w:sz w:val="22"/>
    </w:rPr>
  </w:style>
  <w:style w:type="character" w:styleId="Hyperlink">
    <w:name w:val="Hyperlink"/>
    <w:basedOn w:val="DefaultParagraphFont"/>
    <w:uiPriority w:val="99"/>
    <w:unhideWhenUsed/>
    <w:rsid w:val="009435AC"/>
    <w:rPr>
      <w:color w:val="0000FF"/>
      <w:u w:val="single"/>
    </w:rPr>
  </w:style>
  <w:style w:type="character" w:styleId="UnresolvedMention">
    <w:name w:val="Unresolved Mention"/>
    <w:basedOn w:val="DefaultParagraphFont"/>
    <w:uiPriority w:val="99"/>
    <w:semiHidden/>
    <w:unhideWhenUsed/>
    <w:rsid w:val="007E2C4E"/>
    <w:rPr>
      <w:color w:val="605E5C"/>
      <w:shd w:val="clear" w:color="auto" w:fill="E1DFDD"/>
    </w:rPr>
  </w:style>
  <w:style w:type="character" w:styleId="FollowedHyperlink">
    <w:name w:val="FollowedHyperlink"/>
    <w:basedOn w:val="DefaultParagraphFont"/>
    <w:uiPriority w:val="99"/>
    <w:semiHidden/>
    <w:unhideWhenUsed/>
    <w:rsid w:val="007E2C4E"/>
    <w:rPr>
      <w:color w:val="954F72" w:themeColor="followedHyperlink"/>
      <w:u w:val="single"/>
    </w:rPr>
  </w:style>
  <w:style w:type="paragraph" w:styleId="ListParagraph">
    <w:name w:val="List Paragraph"/>
    <w:basedOn w:val="Normal"/>
    <w:uiPriority w:val="34"/>
    <w:qFormat/>
    <w:rsid w:val="000643FA"/>
    <w:pPr>
      <w:ind w:left="720"/>
      <w:contextualSpacing/>
    </w:pPr>
    <w:rPr>
      <w:rFonts w:ascii="Times New Roman" w:eastAsia="SimSun" w:hAnsi="Times New Roman" w:cs="Times New Roman"/>
      <w:sz w:val="24"/>
      <w:lang w:eastAsia="zh-CN"/>
    </w:rPr>
  </w:style>
  <w:style w:type="paragraph" w:customStyle="1" w:styleId="paragraph">
    <w:name w:val="paragraph"/>
    <w:basedOn w:val="Normal"/>
    <w:rsid w:val="006049C0"/>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6049C0"/>
  </w:style>
  <w:style w:type="character" w:customStyle="1" w:styleId="eop">
    <w:name w:val="eop"/>
    <w:basedOn w:val="DefaultParagraphFont"/>
    <w:rsid w:val="00604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416942">
      <w:bodyDiv w:val="1"/>
      <w:marLeft w:val="0"/>
      <w:marRight w:val="0"/>
      <w:marTop w:val="0"/>
      <w:marBottom w:val="0"/>
      <w:divBdr>
        <w:top w:val="none" w:sz="0" w:space="0" w:color="auto"/>
        <w:left w:val="none" w:sz="0" w:space="0" w:color="auto"/>
        <w:bottom w:val="none" w:sz="0" w:space="0" w:color="auto"/>
        <w:right w:val="none" w:sz="0" w:space="0" w:color="auto"/>
      </w:divBdr>
    </w:div>
    <w:div w:id="631054309">
      <w:bodyDiv w:val="1"/>
      <w:marLeft w:val="0"/>
      <w:marRight w:val="0"/>
      <w:marTop w:val="0"/>
      <w:marBottom w:val="0"/>
      <w:divBdr>
        <w:top w:val="none" w:sz="0" w:space="0" w:color="auto"/>
        <w:left w:val="none" w:sz="0" w:space="0" w:color="auto"/>
        <w:bottom w:val="none" w:sz="0" w:space="0" w:color="auto"/>
        <w:right w:val="none" w:sz="0" w:space="0" w:color="auto"/>
      </w:divBdr>
    </w:div>
    <w:div w:id="747383271">
      <w:bodyDiv w:val="1"/>
      <w:marLeft w:val="0"/>
      <w:marRight w:val="0"/>
      <w:marTop w:val="0"/>
      <w:marBottom w:val="0"/>
      <w:divBdr>
        <w:top w:val="none" w:sz="0" w:space="0" w:color="auto"/>
        <w:left w:val="none" w:sz="0" w:space="0" w:color="auto"/>
        <w:bottom w:val="none" w:sz="0" w:space="0" w:color="auto"/>
        <w:right w:val="none" w:sz="0" w:space="0" w:color="auto"/>
      </w:divBdr>
    </w:div>
    <w:div w:id="1014306608">
      <w:bodyDiv w:val="1"/>
      <w:marLeft w:val="0"/>
      <w:marRight w:val="0"/>
      <w:marTop w:val="0"/>
      <w:marBottom w:val="0"/>
      <w:divBdr>
        <w:top w:val="none" w:sz="0" w:space="0" w:color="auto"/>
        <w:left w:val="none" w:sz="0" w:space="0" w:color="auto"/>
        <w:bottom w:val="none" w:sz="0" w:space="0" w:color="auto"/>
        <w:right w:val="none" w:sz="0" w:space="0" w:color="auto"/>
      </w:divBdr>
    </w:div>
    <w:div w:id="1074932329">
      <w:bodyDiv w:val="1"/>
      <w:marLeft w:val="0"/>
      <w:marRight w:val="0"/>
      <w:marTop w:val="0"/>
      <w:marBottom w:val="0"/>
      <w:divBdr>
        <w:top w:val="none" w:sz="0" w:space="0" w:color="auto"/>
        <w:left w:val="none" w:sz="0" w:space="0" w:color="auto"/>
        <w:bottom w:val="none" w:sz="0" w:space="0" w:color="auto"/>
        <w:right w:val="none" w:sz="0" w:space="0" w:color="auto"/>
      </w:divBdr>
      <w:divsChild>
        <w:div w:id="132836303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37639841">
              <w:marLeft w:val="0"/>
              <w:marRight w:val="0"/>
              <w:marTop w:val="0"/>
              <w:marBottom w:val="0"/>
              <w:divBdr>
                <w:top w:val="none" w:sz="0" w:space="0" w:color="auto"/>
                <w:left w:val="none" w:sz="0" w:space="0" w:color="auto"/>
                <w:bottom w:val="none" w:sz="0" w:space="0" w:color="auto"/>
                <w:right w:val="none" w:sz="0" w:space="0" w:color="auto"/>
              </w:divBdr>
              <w:divsChild>
                <w:div w:id="1371685842">
                  <w:marLeft w:val="0"/>
                  <w:marRight w:val="0"/>
                  <w:marTop w:val="0"/>
                  <w:marBottom w:val="0"/>
                  <w:divBdr>
                    <w:top w:val="none" w:sz="0" w:space="0" w:color="auto"/>
                    <w:left w:val="none" w:sz="0" w:space="0" w:color="auto"/>
                    <w:bottom w:val="none" w:sz="0" w:space="0" w:color="auto"/>
                    <w:right w:val="none" w:sz="0" w:space="0" w:color="auto"/>
                  </w:divBdr>
                  <w:divsChild>
                    <w:div w:id="40750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433912">
      <w:bodyDiv w:val="1"/>
      <w:marLeft w:val="0"/>
      <w:marRight w:val="0"/>
      <w:marTop w:val="0"/>
      <w:marBottom w:val="0"/>
      <w:divBdr>
        <w:top w:val="none" w:sz="0" w:space="0" w:color="auto"/>
        <w:left w:val="none" w:sz="0" w:space="0" w:color="auto"/>
        <w:bottom w:val="none" w:sz="0" w:space="0" w:color="auto"/>
        <w:right w:val="none" w:sz="0" w:space="0" w:color="auto"/>
      </w:divBdr>
      <w:divsChild>
        <w:div w:id="415596348">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84808275">
              <w:marLeft w:val="0"/>
              <w:marRight w:val="0"/>
              <w:marTop w:val="0"/>
              <w:marBottom w:val="0"/>
              <w:divBdr>
                <w:top w:val="none" w:sz="0" w:space="0" w:color="auto"/>
                <w:left w:val="none" w:sz="0" w:space="0" w:color="auto"/>
                <w:bottom w:val="none" w:sz="0" w:space="0" w:color="auto"/>
                <w:right w:val="none" w:sz="0" w:space="0" w:color="auto"/>
              </w:divBdr>
              <w:divsChild>
                <w:div w:id="1054963570">
                  <w:marLeft w:val="0"/>
                  <w:marRight w:val="0"/>
                  <w:marTop w:val="0"/>
                  <w:marBottom w:val="0"/>
                  <w:divBdr>
                    <w:top w:val="none" w:sz="0" w:space="0" w:color="auto"/>
                    <w:left w:val="none" w:sz="0" w:space="0" w:color="auto"/>
                    <w:bottom w:val="none" w:sz="0" w:space="0" w:color="auto"/>
                    <w:right w:val="none" w:sz="0" w:space="0" w:color="auto"/>
                  </w:divBdr>
                  <w:divsChild>
                    <w:div w:id="21026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076764">
      <w:bodyDiv w:val="1"/>
      <w:marLeft w:val="0"/>
      <w:marRight w:val="0"/>
      <w:marTop w:val="0"/>
      <w:marBottom w:val="0"/>
      <w:divBdr>
        <w:top w:val="none" w:sz="0" w:space="0" w:color="auto"/>
        <w:left w:val="none" w:sz="0" w:space="0" w:color="auto"/>
        <w:bottom w:val="none" w:sz="0" w:space="0" w:color="auto"/>
        <w:right w:val="none" w:sz="0" w:space="0" w:color="auto"/>
      </w:divBdr>
    </w:div>
    <w:div w:id="1835948012">
      <w:bodyDiv w:val="1"/>
      <w:marLeft w:val="0"/>
      <w:marRight w:val="0"/>
      <w:marTop w:val="0"/>
      <w:marBottom w:val="0"/>
      <w:divBdr>
        <w:top w:val="none" w:sz="0" w:space="0" w:color="auto"/>
        <w:left w:val="none" w:sz="0" w:space="0" w:color="auto"/>
        <w:bottom w:val="none" w:sz="0" w:space="0" w:color="auto"/>
        <w:right w:val="none" w:sz="0" w:space="0" w:color="auto"/>
      </w:divBdr>
    </w:div>
    <w:div w:id="1899584634">
      <w:bodyDiv w:val="1"/>
      <w:marLeft w:val="0"/>
      <w:marRight w:val="0"/>
      <w:marTop w:val="0"/>
      <w:marBottom w:val="0"/>
      <w:divBdr>
        <w:top w:val="none" w:sz="0" w:space="0" w:color="auto"/>
        <w:left w:val="none" w:sz="0" w:space="0" w:color="auto"/>
        <w:bottom w:val="none" w:sz="0" w:space="0" w:color="auto"/>
        <w:right w:val="none" w:sz="0" w:space="0" w:color="auto"/>
      </w:divBdr>
    </w:div>
    <w:div w:id="2005010379">
      <w:bodyDiv w:val="1"/>
      <w:marLeft w:val="0"/>
      <w:marRight w:val="0"/>
      <w:marTop w:val="0"/>
      <w:marBottom w:val="0"/>
      <w:divBdr>
        <w:top w:val="none" w:sz="0" w:space="0" w:color="auto"/>
        <w:left w:val="none" w:sz="0" w:space="0" w:color="auto"/>
        <w:bottom w:val="none" w:sz="0" w:space="0" w:color="auto"/>
        <w:right w:val="none" w:sz="0" w:space="0" w:color="auto"/>
      </w:divBdr>
      <w:divsChild>
        <w:div w:id="1620456807">
          <w:marLeft w:val="0"/>
          <w:marRight w:val="0"/>
          <w:marTop w:val="0"/>
          <w:marBottom w:val="0"/>
          <w:divBdr>
            <w:top w:val="none" w:sz="0" w:space="0" w:color="auto"/>
            <w:left w:val="none" w:sz="0" w:space="0" w:color="auto"/>
            <w:bottom w:val="none" w:sz="0" w:space="0" w:color="auto"/>
            <w:right w:val="none" w:sz="0" w:space="0" w:color="auto"/>
          </w:divBdr>
        </w:div>
        <w:div w:id="1375739519">
          <w:marLeft w:val="0"/>
          <w:marRight w:val="0"/>
          <w:marTop w:val="0"/>
          <w:marBottom w:val="0"/>
          <w:divBdr>
            <w:top w:val="none" w:sz="0" w:space="0" w:color="auto"/>
            <w:left w:val="none" w:sz="0" w:space="0" w:color="auto"/>
            <w:bottom w:val="none" w:sz="0" w:space="0" w:color="auto"/>
            <w:right w:val="none" w:sz="0" w:space="0" w:color="auto"/>
          </w:divBdr>
        </w:div>
      </w:divsChild>
    </w:div>
    <w:div w:id="203607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tg.org.uk/" TargetMode="External"/><Relationship Id="rId18" Type="http://schemas.openxmlformats.org/officeDocument/2006/relationships/hyperlink" Target="mailto:noemie.galabru@witbe.ne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witbe.net" TargetMode="External"/><Relationship Id="rId17" Type="http://schemas.openxmlformats.org/officeDocument/2006/relationships/hyperlink" Target="mailto:moe@wallstcom.com" TargetMode="External"/><Relationship Id="rId2" Type="http://schemas.openxmlformats.org/officeDocument/2006/relationships/customXml" Target="../customXml/item2.xml"/><Relationship Id="rId16" Type="http://schemas.openxmlformats.org/officeDocument/2006/relationships/hyperlink" Target="https://www.wallstcom.com/Witbe/Witbe-DTG.jp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tbe.net" TargetMode="External"/><Relationship Id="rId5" Type="http://schemas.openxmlformats.org/officeDocument/2006/relationships/styles" Target="styles.xml"/><Relationship Id="rId15" Type="http://schemas.openxmlformats.org/officeDocument/2006/relationships/hyperlink" Target="https://www.wallstcom.com/Witbe/250115-Witbe&#8211;Digital_TV_Group.docx" TargetMode="External"/><Relationship Id="rId10" Type="http://schemas.openxmlformats.org/officeDocument/2006/relationships/hyperlink" Target="https://www.witbe.net/" TargetMode="External"/><Relationship Id="rId19" Type="http://schemas.openxmlformats.org/officeDocument/2006/relationships/hyperlink" Target="https://www.witbe.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tg.org.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eate a new document." ma:contentTypeScope="" ma:versionID="e17830476b2d52fbb7fc74cb8df76e8a">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7303603688be2e689809d4edd95ee39d"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documentManagement>
</p:properties>
</file>

<file path=customXml/itemProps1.xml><?xml version="1.0" encoding="utf-8"?>
<ds:datastoreItem xmlns:ds="http://schemas.openxmlformats.org/officeDocument/2006/customXml" ds:itemID="{11857F39-EF5A-40D8-96DE-38969C712CE1}"/>
</file>

<file path=customXml/itemProps2.xml><?xml version="1.0" encoding="utf-8"?>
<ds:datastoreItem xmlns:ds="http://schemas.openxmlformats.org/officeDocument/2006/customXml" ds:itemID="{6A479344-8B47-4136-8E73-58242EF90C6B}">
  <ds:schemaRefs>
    <ds:schemaRef ds:uri="http://schemas.microsoft.com/sharepoint/v3/contenttype/forms"/>
  </ds:schemaRefs>
</ds:datastoreItem>
</file>

<file path=customXml/itemProps3.xml><?xml version="1.0" encoding="utf-8"?>
<ds:datastoreItem xmlns:ds="http://schemas.openxmlformats.org/officeDocument/2006/customXml" ds:itemID="{EFFAA0E2-4D5D-4DBC-A6B3-7934928CDBD8}">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