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E829B" w14:textId="145CDC59">
      <w:pPr>
        <w:jc w:val="both"/>
        <w:textAlignment w:val="baseline"/>
        <w:rPr>
          <w:rFonts w:ascii="Arial" w:eastAsia="Times New Roman" w:hAnsi="Arial" w:cs="Arial"/>
          <w:b/>
          <w:bCs/>
          <w:sz w:val="28"/>
          <w:szCs w:val="28"/>
        </w:rPr>
      </w:pPr>
      <w:r>
        <w:rPr>
          <w:rFonts w:ascii="Arial" w:eastAsia="Times New Roman" w:hAnsi="Arial" w:cs="Arial"/>
          <w:b/>
          <w:bCs/>
          <w:noProof/>
          <w:spacing w:val="5"/>
          <w:sz w:val="32"/>
          <w:szCs w:val="32"/>
        </w:rPr>
        <w:drawing>
          <wp:anchor distT="0" distB="0" distL="114300" distR="114300" simplePos="0" relativeHeight="251658240" behindDoc="1" locked="0" layoutInCell="1" allowOverlap="1" wp14:anchorId="227CE51D" wp14:editId="2BA4F6BE">
            <wp:simplePos x="0" y="0"/>
            <wp:positionH relativeFrom="column">
              <wp:posOffset>130628</wp:posOffset>
            </wp:positionH>
            <wp:positionV relativeFrom="paragraph">
              <wp:posOffset>0</wp:posOffset>
            </wp:positionV>
            <wp:extent cx="1375410" cy="641985"/>
            <wp:effectExtent l="0" t="0" r="0" b="5715"/>
            <wp:wrapTight wrapText="bothSides">
              <wp:wrapPolygon edited="0">
                <wp:start x="3391" y="0"/>
                <wp:lineTo x="0" y="3418"/>
                <wp:lineTo x="0" y="15383"/>
                <wp:lineTo x="1795" y="20510"/>
                <wp:lineTo x="3191" y="21365"/>
                <wp:lineTo x="6582" y="21365"/>
                <wp:lineTo x="11568" y="20510"/>
                <wp:lineTo x="21341" y="15810"/>
                <wp:lineTo x="21341" y="6837"/>
                <wp:lineTo x="15357" y="6837"/>
                <wp:lineTo x="15756" y="4273"/>
                <wp:lineTo x="14560" y="3418"/>
                <wp:lineTo x="6582" y="0"/>
                <wp:lineTo x="3391"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5410" cy="641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0B99A1" w14:textId="721AD960">
      <w:pPr>
        <w:tabs>
          <w:tab w:val="left" w:pos="1141"/>
          <w:tab w:val="center" w:pos="3417"/>
        </w:tabs>
        <w:textAlignment w:val="baseline"/>
        <w:rPr>
          <w:rFonts w:ascii="Arial" w:eastAsia="Times New Roman" w:hAnsi="Arial" w:cs="Arial"/>
          <w:b/>
          <w:bCs/>
          <w:sz w:val="32"/>
          <w:szCs w:val="32"/>
        </w:rPr>
      </w:pPr>
      <w:r>
        <w:rPr>
          <w:rFonts w:ascii="Arial" w:eastAsia="Times New Roman" w:hAnsi="Arial" w:cs="Arial"/>
          <w:b/>
          <w:bCs/>
          <w:sz w:val="32"/>
          <w:szCs w:val="32"/>
        </w:rPr>
        <w:tab/>
      </w:r>
      <w:r>
        <w:rPr>
          <w:rFonts w:ascii="Arial" w:eastAsia="Times New Roman" w:hAnsi="Arial" w:cs="Arial"/>
          <w:b/>
          <w:bCs/>
          <w:sz w:val="32"/>
          <w:szCs w:val="32"/>
        </w:rPr>
        <w:tab/>
      </w:r>
    </w:p>
    <w:p w14:paraId="270DA2B1" w14:textId="77777777">
      <w:pPr>
        <w:jc w:val="center"/>
        <w:textAlignment w:val="baseline"/>
        <w:rPr>
          <w:rFonts w:ascii="Arial" w:eastAsia="Times New Roman" w:hAnsi="Arial" w:cs="Arial"/>
          <w:b/>
          <w:bCs/>
          <w:sz w:val="32"/>
          <w:szCs w:val="32"/>
        </w:rPr>
      </w:pPr>
    </w:p>
    <w:p w14:paraId="083E495D" w14:textId="77777777">
      <w:pPr>
        <w:textAlignment w:val="baseline"/>
        <w:rPr>
          <w:rFonts w:ascii="Arial" w:eastAsia="Times New Roman" w:hAnsi="Arial" w:cs="Arial"/>
          <w:b/>
          <w:bCs/>
          <w:sz w:val="32"/>
          <w:szCs w:val="32"/>
        </w:rPr>
      </w:pPr>
    </w:p>
    <w:p w14:paraId="53D6831B" w14:textId="3C2FE882">
      <w:pPr>
        <w:jc w:val="center"/>
        <w:textAlignment w:val="baseline"/>
        <w:rPr>
          <w:rFonts w:ascii="Arial" w:eastAsia="Times New Roman" w:hAnsi="Arial" w:cs="Arial"/>
          <w:b/>
          <w:bCs/>
          <w:sz w:val="32"/>
          <w:szCs w:val="32"/>
        </w:rPr>
      </w:pPr>
      <w:r>
        <w:rPr>
          <w:rFonts w:ascii="Arial" w:eastAsia="Times New Roman" w:hAnsi="Arial" w:cs="Arial"/>
          <w:b/>
          <w:bCs/>
          <w:sz w:val="32"/>
          <w:szCs w:val="32"/>
        </w:rPr>
        <w:t>Paul Bunyan Communications</w:t>
      </w:r>
      <w:r>
        <w:rPr>
          <w:rFonts w:ascii="Arial" w:eastAsia="Times New Roman" w:hAnsi="Arial" w:cs="Arial"/>
          <w:b/>
          <w:bCs/>
          <w:sz w:val="32"/>
          <w:szCs w:val="32"/>
        </w:rPr>
        <w:t xml:space="preserve"> </w:t>
      </w:r>
      <w:r>
        <w:rPr>
          <w:rFonts w:ascii="Arial" w:eastAsia="Times New Roman" w:hAnsi="Arial" w:cs="Arial"/>
          <w:b/>
          <w:bCs/>
          <w:sz w:val="32"/>
          <w:szCs w:val="32"/>
        </w:rPr>
        <w:t>Chooses</w:t>
      </w:r>
      <w:r>
        <w:rPr>
          <w:rFonts w:ascii="Arial" w:eastAsia="Times New Roman" w:hAnsi="Arial" w:cs="Arial"/>
          <w:b/>
          <w:bCs/>
          <w:sz w:val="32"/>
          <w:szCs w:val="32"/>
        </w:rPr>
        <w:t xml:space="preserve"> Witbe </w:t>
      </w:r>
      <w:r>
        <w:rPr>
          <w:rFonts w:ascii="Arial" w:eastAsia="Times New Roman" w:hAnsi="Arial" w:cs="Arial"/>
          <w:b/>
          <w:bCs/>
          <w:sz w:val="32"/>
          <w:szCs w:val="32"/>
        </w:rPr>
        <w:t>for Live Video Monitoring Technology</w:t>
      </w:r>
    </w:p>
    <w:p w14:paraId="676D036A" w14:textId="77777777">
      <w:pPr>
        <w:jc w:val="center"/>
        <w:textAlignment w:val="baseline"/>
        <w:rPr>
          <w:rFonts w:ascii="Arial" w:eastAsia="Times New Roman" w:hAnsi="Arial" w:cs="Arial"/>
          <w:b/>
          <w:bCs/>
          <w:sz w:val="24"/>
        </w:rPr>
      </w:pPr>
    </w:p>
    <w:p w14:paraId="020D2BE6" w14:textId="1E7B717D">
      <w:pPr>
        <w:jc w:val="center"/>
        <w:textAlignment w:val="baseline"/>
        <w:rPr>
          <w:rFonts w:ascii="Arial" w:eastAsia="Times New Roman" w:hAnsi="Arial" w:cs="Arial"/>
          <w:b/>
          <w:bCs/>
          <w:i/>
          <w:iCs/>
          <w:sz w:val="24"/>
        </w:rPr>
      </w:pPr>
      <w:r>
        <w:rPr>
          <w:rFonts w:ascii="Arial" w:eastAsia="Times New Roman" w:hAnsi="Arial" w:cs="Arial"/>
          <w:b/>
          <w:bCs/>
          <w:i/>
          <w:iCs/>
          <w:sz w:val="24"/>
        </w:rPr>
        <w:t xml:space="preserve">Paul Bunyan Communications Relies on Witbox Hardware and </w:t>
      </w:r>
      <w:r>
        <w:rPr>
          <w:rFonts w:ascii="Arial" w:eastAsia="Times New Roman" w:hAnsi="Arial" w:cs="Arial"/>
          <w:b/>
          <w:bCs/>
          <w:i/>
          <w:iCs/>
          <w:sz w:val="24"/>
        </w:rPr>
        <w:t xml:space="preserve">the Witbe </w:t>
      </w:r>
      <w:r>
        <w:rPr>
          <w:rFonts w:ascii="Arial" w:eastAsia="Times New Roman" w:hAnsi="Arial" w:cs="Arial"/>
          <w:b/>
          <w:bCs/>
          <w:i/>
          <w:iCs/>
          <w:sz w:val="24"/>
        </w:rPr>
        <w:t>Software</w:t>
      </w:r>
      <w:r>
        <w:rPr>
          <w:rFonts w:ascii="Arial" w:eastAsia="Times New Roman" w:hAnsi="Arial" w:cs="Arial"/>
          <w:b/>
          <w:bCs/>
          <w:i/>
          <w:iCs/>
          <w:sz w:val="24"/>
        </w:rPr>
        <w:t xml:space="preserve"> Suite</w:t>
      </w:r>
      <w:r>
        <w:rPr>
          <w:rFonts w:ascii="Arial" w:eastAsia="Times New Roman" w:hAnsi="Arial" w:cs="Arial"/>
          <w:b/>
          <w:bCs/>
          <w:i/>
          <w:iCs/>
          <w:sz w:val="24"/>
        </w:rPr>
        <w:t xml:space="preserve"> to Remotely Access and Monitor Video Channels on Set-Top Boxes</w:t>
      </w:r>
    </w:p>
    <w:p w14:paraId="7EDDBFE8" w14:textId="2D02080C">
      <w:pPr>
        <w:jc w:val="center"/>
        <w:textAlignment w:val="baseline"/>
        <w:rPr>
          <w:rFonts w:ascii="Arial" w:eastAsia="Times New Roman" w:hAnsi="Arial" w:cs="Arial"/>
          <w:b/>
          <w:bCs/>
          <w:i/>
          <w:iCs/>
          <w:sz w:val="24"/>
        </w:rPr>
      </w:pPr>
      <w:r>
        <w:rPr>
          <w:rFonts w:ascii="Arial" w:eastAsia="Times New Roman" w:hAnsi="Arial" w:cs="Arial"/>
          <w:sz w:val="32"/>
          <w:szCs w:val="32"/>
        </w:rPr>
        <w:t> </w:t>
      </w:r>
    </w:p>
    <w:p w14:paraId="3C0DAB21" w14:textId="1A90F44D">
      <w:pPr>
        <w:spacing w:line="360" w:lineRule="auto"/>
        <w:textAlignment w:val="baseline"/>
        <w:rPr>
          <w:rFonts w:ascii="Arial" w:eastAsia="Times New Roman" w:hAnsi="Arial" w:cs="Arial"/>
        </w:rPr>
      </w:pPr>
      <w:r>
        <w:rPr>
          <w:rFonts w:ascii="Arial" w:eastAsia="Times New Roman" w:hAnsi="Arial" w:cs="Arial"/>
          <w:b/>
          <w:bCs/>
        </w:rPr>
        <w:t>NEW YORK</w:t>
      </w:r>
      <w:r>
        <w:rPr>
          <w:rFonts w:ascii="Arial" w:eastAsia="Times New Roman" w:hAnsi="Arial" w:cs="Arial"/>
          <w:b/>
          <w:bCs/>
        </w:rPr>
        <w:t xml:space="preserve"> </w:t>
      </w:r>
      <w:r>
        <w:rPr>
          <w:rFonts w:ascii="Arial" w:eastAsia="Times New Roman" w:hAnsi="Arial" w:cs="Arial"/>
          <w:b/>
          <w:bCs/>
        </w:rPr>
        <w:t xml:space="preserve">– </w:t>
      </w:r>
      <w:r>
        <w:rPr>
          <w:rFonts w:ascii="Arial" w:eastAsia="Times New Roman" w:hAnsi="Arial" w:cs="Arial"/>
          <w:b/>
          <w:bCs/>
        </w:rPr>
        <w:t xml:space="preserve">June </w:t>
      </w:r>
      <w:r>
        <w:rPr>
          <w:rFonts w:ascii="Arial" w:eastAsia="Times New Roman" w:hAnsi="Arial" w:cs="Arial"/>
          <w:b/>
          <w:bCs/>
        </w:rPr>
        <w:t>25</w:t>
      </w:r>
      <w:r>
        <w:rPr>
          <w:rFonts w:ascii="Arial" w:eastAsia="Times New Roman" w:hAnsi="Arial" w:cs="Arial"/>
          <w:b/>
          <w:bCs/>
        </w:rPr>
        <w:t xml:space="preserve">, </w:t>
      </w:r>
      <w:r>
        <w:rPr>
          <w:rFonts w:ascii="Arial" w:eastAsia="Times New Roman" w:hAnsi="Arial" w:cs="Arial"/>
          <w:b/>
          <w:bCs/>
        </w:rPr>
        <w:t>202</w:t>
      </w:r>
      <w:r>
        <w:rPr>
          <w:rFonts w:ascii="Arial" w:eastAsia="Times New Roman" w:hAnsi="Arial" w:cs="Arial"/>
          <w:b/>
          <w:bCs/>
        </w:rPr>
        <w:t>4</w:t>
      </w:r>
      <w:r>
        <w:rPr>
          <w:rFonts w:ascii="Arial" w:eastAsia="Times New Roman" w:hAnsi="Arial" w:cs="Arial"/>
        </w:rPr>
        <w:t xml:space="preserve"> – </w:t>
      </w:r>
      <w:r>
        <w:rPr>
          <w:rFonts w:ascii="Arial" w:eastAsia="Times New Roman" w:hAnsi="Arial" w:cs="Arial"/>
        </w:rPr>
        <w:t xml:space="preserve">Witbe (Euronext Growth – FR0013143872 – ALWIT), </w:t>
      </w:r>
      <w:r>
        <w:rPr>
          <w:rFonts w:ascii="Arial" w:eastAsia="Times New Roman" w:hAnsi="Arial" w:cs="Arial"/>
        </w:rPr>
        <w:t>a global</w:t>
      </w:r>
      <w:r>
        <w:rPr>
          <w:rFonts w:ascii="Arial" w:eastAsia="Times New Roman" w:hAnsi="Arial" w:cs="Arial"/>
        </w:rPr>
        <w:t xml:space="preserve"> </w:t>
      </w:r>
      <w:r>
        <w:rPr>
          <w:rFonts w:ascii="Arial" w:eastAsia="Times New Roman" w:hAnsi="Arial" w:cs="Arial"/>
        </w:rPr>
        <w:t xml:space="preserve">leader in test automation and monitoring technology for video service providers, today announced </w:t>
      </w:r>
      <w:r>
        <w:rPr>
          <w:rFonts w:ascii="Arial" w:eastAsia="Times New Roman" w:hAnsi="Arial" w:cs="Arial"/>
        </w:rPr>
        <w:t xml:space="preserve">that </w:t>
      </w:r>
      <w:r>
        <w:rPr>
          <w:rFonts w:ascii="Arial" w:eastAsia="Times New Roman" w:hAnsi="Arial" w:cs="Arial"/>
        </w:rPr>
        <w:t>Paul Bunyan Communications</w:t>
      </w:r>
      <w:r>
        <w:rPr>
          <w:rFonts w:ascii="Arial" w:eastAsia="Times New Roman" w:hAnsi="Arial" w:cs="Arial"/>
        </w:rPr>
        <w:t xml:space="preserve"> —</w:t>
      </w:r>
      <w:r>
        <w:rPr>
          <w:rFonts w:ascii="Arial" w:eastAsia="Times New Roman" w:hAnsi="Arial" w:cs="Arial"/>
        </w:rPr>
        <w:t xml:space="preserve"> one of the largest rural all-fiber</w:t>
      </w:r>
      <w:r>
        <w:rPr>
          <w:rFonts w:ascii="Arial" w:eastAsia="Times New Roman" w:hAnsi="Arial" w:cs="Arial"/>
        </w:rPr>
        <w:t>-</w:t>
      </w:r>
      <w:r>
        <w:rPr>
          <w:rFonts w:ascii="Arial" w:eastAsia="Times New Roman" w:hAnsi="Arial" w:cs="Arial"/>
        </w:rPr>
        <w:t>optic network providers in the United States</w:t>
      </w:r>
      <w:r>
        <w:rPr>
          <w:rFonts w:ascii="Arial" w:eastAsia="Times New Roman" w:hAnsi="Arial" w:cs="Arial"/>
        </w:rPr>
        <w:t xml:space="preserve"> —</w:t>
      </w:r>
      <w:r>
        <w:rPr>
          <w:rFonts w:ascii="Arial" w:eastAsia="Times New Roman" w:hAnsi="Arial" w:cs="Arial"/>
        </w:rPr>
        <w:t xml:space="preserve"> </w:t>
      </w:r>
      <w:r>
        <w:rPr>
          <w:rFonts w:ascii="Arial" w:eastAsia="Times New Roman" w:hAnsi="Arial" w:cs="Arial"/>
        </w:rPr>
        <w:t xml:space="preserve">is using </w:t>
      </w:r>
      <w:r>
        <w:rPr>
          <w:rFonts w:ascii="Arial" w:eastAsia="Times New Roman" w:hAnsi="Arial" w:cs="Arial"/>
        </w:rPr>
        <w:t xml:space="preserve">the company’s </w:t>
      </w:r>
      <w:r>
        <w:rPr>
          <w:rFonts w:ascii="Arial" w:eastAsia="Times New Roman" w:hAnsi="Arial" w:cs="Arial"/>
        </w:rPr>
        <w:t xml:space="preserve">proactive monitoring technology to remotely monitor channels running on </w:t>
      </w:r>
      <w:r>
        <w:rPr>
          <w:rFonts w:ascii="Arial" w:eastAsia="Times New Roman" w:hAnsi="Arial" w:cs="Arial"/>
        </w:rPr>
        <w:t xml:space="preserve">its </w:t>
      </w:r>
      <w:r>
        <w:rPr>
          <w:rFonts w:ascii="Arial" w:eastAsia="Times New Roman" w:hAnsi="Arial" w:cs="Arial"/>
        </w:rPr>
        <w:t xml:space="preserve">popular PBTV </w:t>
      </w:r>
      <w:r>
        <w:rPr>
          <w:rFonts w:ascii="Arial" w:eastAsia="Times New Roman" w:hAnsi="Arial" w:cs="Arial"/>
        </w:rPr>
        <w:t>s</w:t>
      </w:r>
      <w:r>
        <w:rPr>
          <w:rFonts w:ascii="Arial" w:eastAsia="Times New Roman" w:hAnsi="Arial" w:cs="Arial"/>
        </w:rPr>
        <w:t>et-</w:t>
      </w:r>
      <w:r>
        <w:rPr>
          <w:rFonts w:ascii="Arial" w:eastAsia="Times New Roman" w:hAnsi="Arial" w:cs="Arial"/>
        </w:rPr>
        <w:t>t</w:t>
      </w:r>
      <w:r>
        <w:rPr>
          <w:rFonts w:ascii="Arial" w:eastAsia="Times New Roman" w:hAnsi="Arial" w:cs="Arial"/>
        </w:rPr>
        <w:t xml:space="preserve">op </w:t>
      </w:r>
      <w:r>
        <w:rPr>
          <w:rFonts w:ascii="Arial" w:eastAsia="Times New Roman" w:hAnsi="Arial" w:cs="Arial"/>
        </w:rPr>
        <w:t>b</w:t>
      </w:r>
      <w:r>
        <w:rPr>
          <w:rFonts w:ascii="Arial" w:eastAsia="Times New Roman" w:hAnsi="Arial" w:cs="Arial"/>
        </w:rPr>
        <w:t>oxes</w:t>
      </w:r>
      <w:r>
        <w:rPr>
          <w:rFonts w:ascii="Arial" w:eastAsia="Times New Roman" w:hAnsi="Arial" w:cs="Arial"/>
        </w:rPr>
        <w:t xml:space="preserve"> (STBs)</w:t>
      </w:r>
      <w:r>
        <w:rPr>
          <w:rFonts w:ascii="Arial" w:eastAsia="Times New Roman" w:hAnsi="Arial" w:cs="Arial"/>
        </w:rPr>
        <w:t>.</w:t>
      </w:r>
      <w:r>
        <w:rPr>
          <w:rFonts w:ascii="Arial" w:eastAsia="Times New Roman" w:hAnsi="Arial" w:cs="Arial"/>
        </w:rPr>
        <w:t xml:space="preserve"> With monitoring data, the </w:t>
      </w:r>
      <w:r>
        <w:rPr>
          <w:rFonts w:ascii="Arial" w:eastAsia="Times New Roman" w:hAnsi="Arial" w:cs="Arial"/>
        </w:rPr>
        <w:t xml:space="preserve">service provider can </w:t>
      </w:r>
      <w:r>
        <w:rPr>
          <w:rFonts w:ascii="Arial" w:eastAsia="Times New Roman" w:hAnsi="Arial" w:cs="Arial"/>
        </w:rPr>
        <w:t>deliver a</w:t>
      </w:r>
      <w:r>
        <w:rPr>
          <w:rFonts w:ascii="Arial" w:eastAsia="Times New Roman" w:hAnsi="Arial" w:cs="Arial"/>
        </w:rPr>
        <w:t>n outstanding</w:t>
      </w:r>
      <w:r>
        <w:rPr>
          <w:rFonts w:ascii="Arial" w:eastAsia="Times New Roman" w:hAnsi="Arial" w:cs="Arial"/>
        </w:rPr>
        <w:t xml:space="preserve"> </w:t>
      </w:r>
      <w:r>
        <w:rPr>
          <w:rFonts w:ascii="Arial" w:eastAsia="Times New Roman" w:hAnsi="Arial" w:cs="Arial"/>
        </w:rPr>
        <w:t>q</w:t>
      </w:r>
      <w:r>
        <w:rPr>
          <w:rFonts w:ascii="Arial" w:eastAsia="Times New Roman" w:hAnsi="Arial" w:cs="Arial"/>
        </w:rPr>
        <w:t xml:space="preserve">uality of </w:t>
      </w:r>
      <w:r>
        <w:rPr>
          <w:rFonts w:ascii="Arial" w:eastAsia="Times New Roman" w:hAnsi="Arial" w:cs="Arial"/>
        </w:rPr>
        <w:t>e</w:t>
      </w:r>
      <w:r>
        <w:rPr>
          <w:rFonts w:ascii="Arial" w:eastAsia="Times New Roman" w:hAnsi="Arial" w:cs="Arial"/>
        </w:rPr>
        <w:t>xperience to</w:t>
      </w:r>
      <w:r>
        <w:rPr>
          <w:rFonts w:ascii="Arial" w:eastAsia="Times New Roman" w:hAnsi="Arial" w:cs="Arial"/>
        </w:rPr>
        <w:t xml:space="preserve"> </w:t>
      </w:r>
      <w:r>
        <w:rPr>
          <w:rFonts w:ascii="Arial" w:eastAsia="Times New Roman" w:hAnsi="Arial" w:cs="Arial"/>
        </w:rPr>
        <w:t>customers across several states.</w:t>
      </w:r>
    </w:p>
    <w:p w14:paraId="61E8AEF4" w14:textId="77777777">
      <w:pPr>
        <w:spacing w:line="360" w:lineRule="auto"/>
        <w:textAlignment w:val="baseline"/>
        <w:rPr>
          <w:rFonts w:ascii="Arial" w:eastAsia="Times New Roman" w:hAnsi="Arial" w:cs="Arial"/>
        </w:rPr>
      </w:pPr>
    </w:p>
    <w:p w14:paraId="5EE71AEA" w14:textId="25AF7698">
      <w:pPr>
        <w:spacing w:line="360" w:lineRule="auto"/>
        <w:textAlignment w:val="baseline"/>
        <w:rPr>
          <w:rFonts w:ascii="Arial" w:eastAsia="Times New Roman" w:hAnsi="Arial" w:cs="Arial"/>
        </w:rPr>
      </w:pPr>
      <w:r>
        <w:rPr>
          <w:rFonts w:ascii="Arial" w:eastAsia="Times New Roman" w:hAnsi="Arial" w:cs="Arial"/>
        </w:rPr>
        <w:t xml:space="preserve">“After talking to Witbe’s friendly and </w:t>
      </w:r>
      <w:r>
        <w:rPr>
          <w:rFonts w:ascii="Arial" w:eastAsia="Times New Roman" w:hAnsi="Arial" w:cs="Arial"/>
        </w:rPr>
        <w:t xml:space="preserve">extremely </w:t>
      </w:r>
      <w:r>
        <w:rPr>
          <w:rFonts w:ascii="Arial" w:eastAsia="Times New Roman" w:hAnsi="Arial" w:cs="Arial"/>
        </w:rPr>
        <w:t xml:space="preserve">knowledgeable </w:t>
      </w:r>
      <w:r>
        <w:rPr>
          <w:rFonts w:ascii="Arial" w:eastAsia="Times New Roman" w:hAnsi="Arial" w:cs="Arial"/>
        </w:rPr>
        <w:t>team</w:t>
      </w:r>
      <w:r>
        <w:rPr>
          <w:rFonts w:ascii="Arial" w:eastAsia="Times New Roman" w:hAnsi="Arial" w:cs="Arial"/>
        </w:rPr>
        <w:t>,</w:t>
      </w:r>
      <w:r>
        <w:rPr>
          <w:rFonts w:ascii="Arial" w:eastAsia="Times New Roman" w:hAnsi="Arial" w:cs="Arial"/>
        </w:rPr>
        <w:t xml:space="preserve"> and seeing the quality of their products, we knew we weren’t going to find another company </w:t>
      </w:r>
      <w:r>
        <w:rPr>
          <w:rFonts w:ascii="Arial" w:eastAsia="Times New Roman" w:hAnsi="Arial" w:cs="Arial"/>
        </w:rPr>
        <w:t>that would hold a candle to them</w:t>
      </w:r>
      <w:r>
        <w:rPr>
          <w:rFonts w:ascii="Arial" w:eastAsia="Times New Roman" w:hAnsi="Arial" w:cs="Arial"/>
        </w:rPr>
        <w:t xml:space="preserve">,” said Grant Hicok, lead video system engineer at Paul Bunyan Communications. “We </w:t>
      </w:r>
      <w:r>
        <w:rPr>
          <w:rFonts w:ascii="Arial" w:eastAsia="Times New Roman" w:hAnsi="Arial" w:cs="Arial"/>
        </w:rPr>
        <w:t>place great</w:t>
      </w:r>
      <w:r>
        <w:rPr>
          <w:rFonts w:ascii="Arial" w:eastAsia="Times New Roman" w:hAnsi="Arial" w:cs="Arial"/>
        </w:rPr>
        <w:t xml:space="preserve"> value </w:t>
      </w:r>
      <w:r>
        <w:rPr>
          <w:rFonts w:ascii="Arial" w:eastAsia="Times New Roman" w:hAnsi="Arial" w:cs="Arial"/>
        </w:rPr>
        <w:t xml:space="preserve">on </w:t>
      </w:r>
      <w:r>
        <w:rPr>
          <w:rFonts w:ascii="Arial" w:eastAsia="Times New Roman" w:hAnsi="Arial" w:cs="Arial"/>
        </w:rPr>
        <w:t>working with</w:t>
      </w:r>
      <w:r>
        <w:rPr>
          <w:rFonts w:ascii="Arial" w:eastAsia="Times New Roman" w:hAnsi="Arial" w:cs="Arial"/>
        </w:rPr>
        <w:t xml:space="preserve"> </w:t>
      </w:r>
      <w:r>
        <w:rPr>
          <w:rFonts w:ascii="Arial" w:eastAsia="Times New Roman" w:hAnsi="Arial" w:cs="Arial"/>
        </w:rPr>
        <w:t>partners</w:t>
      </w:r>
      <w:r>
        <w:rPr>
          <w:rFonts w:ascii="Arial" w:eastAsia="Times New Roman" w:hAnsi="Arial" w:cs="Arial"/>
        </w:rPr>
        <w:t xml:space="preserve"> </w:t>
      </w:r>
      <w:r>
        <w:rPr>
          <w:rFonts w:ascii="Arial" w:eastAsia="Times New Roman" w:hAnsi="Arial" w:cs="Arial"/>
        </w:rPr>
        <w:t>who</w:t>
      </w:r>
      <w:r>
        <w:rPr>
          <w:rFonts w:ascii="Arial" w:eastAsia="Times New Roman" w:hAnsi="Arial" w:cs="Arial"/>
        </w:rPr>
        <w:t xml:space="preserve"> </w:t>
      </w:r>
      <w:r>
        <w:rPr>
          <w:rFonts w:ascii="Arial" w:eastAsia="Times New Roman" w:hAnsi="Arial" w:cs="Arial"/>
        </w:rPr>
        <w:t xml:space="preserve">understand our challenges and </w:t>
      </w:r>
      <w:r>
        <w:rPr>
          <w:rFonts w:ascii="Arial" w:eastAsia="Times New Roman" w:hAnsi="Arial" w:cs="Arial"/>
        </w:rPr>
        <w:t xml:space="preserve">know </w:t>
      </w:r>
      <w:r>
        <w:rPr>
          <w:rFonts w:ascii="Arial" w:eastAsia="Times New Roman" w:hAnsi="Arial" w:cs="Arial"/>
        </w:rPr>
        <w:t>their</w:t>
      </w:r>
      <w:r>
        <w:rPr>
          <w:rFonts w:ascii="Arial" w:eastAsia="Times New Roman" w:hAnsi="Arial" w:cs="Arial"/>
        </w:rPr>
        <w:t xml:space="preserve"> </w:t>
      </w:r>
      <w:r>
        <w:rPr>
          <w:rFonts w:ascii="Arial" w:eastAsia="Times New Roman" w:hAnsi="Arial" w:cs="Arial"/>
        </w:rPr>
        <w:t xml:space="preserve">own </w:t>
      </w:r>
      <w:r>
        <w:rPr>
          <w:rFonts w:ascii="Arial" w:eastAsia="Times New Roman" w:hAnsi="Arial" w:cs="Arial"/>
        </w:rPr>
        <w:t>product</w:t>
      </w:r>
      <w:r>
        <w:rPr>
          <w:rFonts w:ascii="Arial" w:eastAsia="Times New Roman" w:hAnsi="Arial" w:cs="Arial"/>
        </w:rPr>
        <w:t>s</w:t>
      </w:r>
      <w:r>
        <w:rPr>
          <w:rFonts w:ascii="Arial" w:eastAsia="Times New Roman" w:hAnsi="Arial" w:cs="Arial"/>
        </w:rPr>
        <w:t>, and</w:t>
      </w:r>
      <w:r>
        <w:rPr>
          <w:rFonts w:ascii="Arial" w:eastAsia="Times New Roman" w:hAnsi="Arial" w:cs="Arial"/>
        </w:rPr>
        <w:t xml:space="preserve"> Witbe definitely meets that </w:t>
      </w:r>
      <w:r>
        <w:rPr>
          <w:rFonts w:ascii="Arial" w:eastAsia="Times New Roman" w:hAnsi="Arial" w:cs="Arial"/>
        </w:rPr>
        <w:t>criteria</w:t>
      </w:r>
      <w:r>
        <w:rPr>
          <w:rFonts w:ascii="Arial" w:eastAsia="Times New Roman" w:hAnsi="Arial" w:cs="Arial"/>
        </w:rPr>
        <w:t>.</w:t>
      </w:r>
      <w:r>
        <w:rPr>
          <w:rFonts w:ascii="Arial" w:eastAsia="Times New Roman" w:hAnsi="Arial" w:cs="Arial"/>
        </w:rPr>
        <w:t>”</w:t>
      </w:r>
    </w:p>
    <w:p w14:paraId="6768AEA2" w14:textId="77777777">
      <w:pPr>
        <w:spacing w:line="360" w:lineRule="auto"/>
        <w:textAlignment w:val="baseline"/>
        <w:rPr>
          <w:rFonts w:ascii="Arial" w:eastAsia="Times New Roman" w:hAnsi="Arial" w:cs="Arial"/>
        </w:rPr>
      </w:pPr>
    </w:p>
    <w:p w14:paraId="3259B9CB" w14:textId="3252C038">
      <w:pPr>
        <w:spacing w:line="360" w:lineRule="auto"/>
        <w:textAlignment w:val="baseline"/>
        <w:rPr>
          <w:rFonts w:ascii="Arial" w:eastAsia="Times New Roman" w:hAnsi="Arial" w:cs="Arial"/>
        </w:rPr>
      </w:pPr>
      <w:r>
        <w:rPr>
          <w:rFonts w:ascii="Arial" w:eastAsia="Times New Roman" w:hAnsi="Arial" w:cs="Arial"/>
        </w:rPr>
        <w:t xml:space="preserve">Witbe’s proactive monitoring technology is capable of automatically monitoring any video service while it runs on </w:t>
      </w:r>
      <w:r>
        <w:rPr>
          <w:rFonts w:ascii="Arial" w:eastAsia="Times New Roman" w:hAnsi="Arial" w:cs="Arial"/>
        </w:rPr>
        <w:t xml:space="preserve">a </w:t>
      </w:r>
      <w:r>
        <w:rPr>
          <w:rFonts w:ascii="Arial" w:eastAsia="Times New Roman" w:hAnsi="Arial" w:cs="Arial"/>
        </w:rPr>
        <w:t xml:space="preserve">physical </w:t>
      </w:r>
      <w:r>
        <w:rPr>
          <w:rFonts w:ascii="Arial" w:eastAsia="Times New Roman" w:hAnsi="Arial" w:cs="Arial"/>
        </w:rPr>
        <w:t>device plugged into a Witbox</w:t>
      </w:r>
      <w:r>
        <w:rPr>
          <w:rFonts w:ascii="Arial" w:eastAsia="Times New Roman" w:hAnsi="Arial" w:cs="Arial"/>
        </w:rPr>
        <w:t xml:space="preserve"> </w:t>
      </w:r>
      <w:r>
        <w:rPr>
          <w:rFonts w:ascii="Arial" w:eastAsia="Times New Roman" w:hAnsi="Arial" w:cs="Arial"/>
        </w:rPr>
        <w:t>—</w:t>
      </w:r>
      <w:r>
        <w:rPr>
          <w:rFonts w:ascii="Arial" w:eastAsia="Times New Roman" w:hAnsi="Arial" w:cs="Arial"/>
        </w:rPr>
        <w:t xml:space="preserve"> </w:t>
      </w:r>
      <w:r>
        <w:rPr>
          <w:rFonts w:ascii="Arial" w:eastAsia="Times New Roman" w:hAnsi="Arial" w:cs="Arial"/>
        </w:rPr>
        <w:t>the company’s signature hardware. The Witbox evaluate</w:t>
      </w:r>
      <w:r>
        <w:rPr>
          <w:rFonts w:ascii="Arial" w:eastAsia="Times New Roman" w:hAnsi="Arial" w:cs="Arial"/>
        </w:rPr>
        <w:t>s</w:t>
      </w:r>
      <w:r>
        <w:rPr>
          <w:rFonts w:ascii="Arial" w:eastAsia="Times New Roman" w:hAnsi="Arial" w:cs="Arial"/>
        </w:rPr>
        <w:t xml:space="preserve"> the picture and sound quality of </w:t>
      </w:r>
      <w:r>
        <w:rPr>
          <w:rFonts w:ascii="Arial" w:eastAsia="Times New Roman" w:hAnsi="Arial" w:cs="Arial"/>
        </w:rPr>
        <w:t xml:space="preserve">the </w:t>
      </w:r>
      <w:r>
        <w:rPr>
          <w:rFonts w:ascii="Arial" w:eastAsia="Times New Roman" w:hAnsi="Arial" w:cs="Arial"/>
        </w:rPr>
        <w:t>service it monitors just like a human would. Whenever</w:t>
      </w:r>
      <w:r>
        <w:rPr>
          <w:rFonts w:ascii="Arial" w:eastAsia="Times New Roman" w:hAnsi="Arial" w:cs="Arial"/>
        </w:rPr>
        <w:t xml:space="preserve"> live</w:t>
      </w:r>
      <w:r>
        <w:rPr>
          <w:rFonts w:ascii="Arial" w:eastAsia="Times New Roman" w:hAnsi="Arial" w:cs="Arial"/>
        </w:rPr>
        <w:t xml:space="preserve"> service quality dips or </w:t>
      </w:r>
      <w:r>
        <w:rPr>
          <w:rFonts w:ascii="Arial" w:eastAsia="Times New Roman" w:hAnsi="Arial" w:cs="Arial"/>
        </w:rPr>
        <w:t>is</w:t>
      </w:r>
      <w:r>
        <w:rPr>
          <w:rFonts w:ascii="Arial" w:eastAsia="Times New Roman" w:hAnsi="Arial" w:cs="Arial"/>
        </w:rPr>
        <w:t xml:space="preserve"> interrupted, </w:t>
      </w:r>
      <w:r>
        <w:rPr>
          <w:rFonts w:ascii="Arial" w:eastAsia="Times New Roman" w:hAnsi="Arial" w:cs="Arial"/>
        </w:rPr>
        <w:t xml:space="preserve">the team at </w:t>
      </w:r>
      <w:r>
        <w:rPr>
          <w:rFonts w:ascii="Arial" w:eastAsia="Times New Roman" w:hAnsi="Arial" w:cs="Arial"/>
        </w:rPr>
        <w:t xml:space="preserve">Paul Bunyan Communications </w:t>
      </w:r>
      <w:r>
        <w:rPr>
          <w:rFonts w:ascii="Arial" w:eastAsia="Times New Roman" w:hAnsi="Arial" w:cs="Arial"/>
        </w:rPr>
        <w:t xml:space="preserve">receive immediate alerts to help </w:t>
      </w:r>
      <w:r>
        <w:rPr>
          <w:rFonts w:ascii="Arial" w:eastAsia="Times New Roman" w:hAnsi="Arial" w:cs="Arial"/>
        </w:rPr>
        <w:t>them</w:t>
      </w:r>
      <w:r>
        <w:rPr>
          <w:rFonts w:ascii="Arial" w:eastAsia="Times New Roman" w:hAnsi="Arial" w:cs="Arial"/>
        </w:rPr>
        <w:t xml:space="preserve"> </w:t>
      </w:r>
      <w:r>
        <w:rPr>
          <w:rFonts w:ascii="Arial" w:eastAsia="Times New Roman" w:hAnsi="Arial" w:cs="Arial"/>
        </w:rPr>
        <w:t xml:space="preserve">resolve errors before </w:t>
      </w:r>
      <w:r>
        <w:rPr>
          <w:rFonts w:ascii="Arial" w:eastAsia="Times New Roman" w:hAnsi="Arial" w:cs="Arial"/>
        </w:rPr>
        <w:t>their</w:t>
      </w:r>
      <w:r>
        <w:rPr>
          <w:rFonts w:ascii="Arial" w:eastAsia="Times New Roman" w:hAnsi="Arial" w:cs="Arial"/>
        </w:rPr>
        <w:t xml:space="preserve"> </w:t>
      </w:r>
      <w:r>
        <w:rPr>
          <w:rFonts w:ascii="Arial" w:eastAsia="Times New Roman" w:hAnsi="Arial" w:cs="Arial"/>
        </w:rPr>
        <w:t xml:space="preserve">customers even notice. </w:t>
      </w:r>
      <w:r>
        <w:rPr>
          <w:rFonts w:ascii="Arial" w:eastAsia="Times New Roman" w:hAnsi="Arial" w:cs="Arial"/>
        </w:rPr>
        <w:t>T</w:t>
      </w:r>
      <w:r>
        <w:rPr>
          <w:rFonts w:ascii="Arial" w:eastAsia="Times New Roman" w:hAnsi="Arial" w:cs="Arial"/>
        </w:rPr>
        <w:t>h</w:t>
      </w:r>
      <w:r>
        <w:rPr>
          <w:rFonts w:ascii="Arial" w:eastAsia="Times New Roman" w:hAnsi="Arial" w:cs="Arial"/>
        </w:rPr>
        <w:t>is</w:t>
      </w:r>
      <w:r>
        <w:rPr>
          <w:rFonts w:ascii="Arial" w:eastAsia="Times New Roman" w:hAnsi="Arial" w:cs="Arial"/>
        </w:rPr>
        <w:t xml:space="preserve"> monitoring data is </w:t>
      </w:r>
      <w:r>
        <w:rPr>
          <w:rFonts w:ascii="Arial" w:eastAsia="Times New Roman" w:hAnsi="Arial" w:cs="Arial"/>
        </w:rPr>
        <w:t>then</w:t>
      </w:r>
      <w:r>
        <w:rPr>
          <w:rFonts w:ascii="Arial" w:eastAsia="Times New Roman" w:hAnsi="Arial" w:cs="Arial"/>
        </w:rPr>
        <w:t xml:space="preserve"> </w:t>
      </w:r>
      <w:r>
        <w:rPr>
          <w:rFonts w:ascii="Arial" w:eastAsia="Times New Roman" w:hAnsi="Arial" w:cs="Arial"/>
        </w:rPr>
        <w:t>compiled in Smartgate, Witbe’s observability platform, where</w:t>
      </w:r>
      <w:r>
        <w:rPr>
          <w:rFonts w:ascii="Arial" w:eastAsia="Times New Roman" w:hAnsi="Arial" w:cs="Arial"/>
        </w:rPr>
        <w:t xml:space="preserve"> </w:t>
      </w:r>
      <w:r>
        <w:rPr>
          <w:rFonts w:ascii="Arial" w:eastAsia="Times New Roman" w:hAnsi="Arial" w:cs="Arial"/>
        </w:rPr>
        <w:t>teams can analyze the results across devices, regions, and software versions.</w:t>
      </w:r>
    </w:p>
    <w:p w14:paraId="6C7D2A72" w14:textId="77777777">
      <w:pPr>
        <w:spacing w:line="360" w:lineRule="auto"/>
        <w:textAlignment w:val="baseline"/>
        <w:rPr>
          <w:rFonts w:ascii="Arial" w:eastAsia="Times New Roman" w:hAnsi="Arial" w:cs="Arial"/>
        </w:rPr>
      </w:pPr>
    </w:p>
    <w:p w14:paraId="5786A502" w14:textId="7E742535">
      <w:pPr>
        <w:spacing w:line="360" w:lineRule="auto"/>
        <w:textAlignment w:val="baseline"/>
        <w:rPr>
          <w:rFonts w:ascii="Arial" w:eastAsia="Times New Roman" w:hAnsi="Arial" w:cs="Arial"/>
        </w:rPr>
      </w:pPr>
      <w:r>
        <w:rPr>
          <w:rFonts w:ascii="Arial" w:eastAsia="Times New Roman" w:hAnsi="Arial" w:cs="Arial"/>
        </w:rPr>
        <w:t xml:space="preserve">Paul Bunyan Communications is </w:t>
      </w:r>
      <w:r>
        <w:rPr>
          <w:rFonts w:ascii="Arial" w:eastAsia="Times New Roman" w:hAnsi="Arial" w:cs="Arial"/>
        </w:rPr>
        <w:t xml:space="preserve">also </w:t>
      </w:r>
      <w:r>
        <w:rPr>
          <w:rFonts w:ascii="Arial" w:eastAsia="Times New Roman" w:hAnsi="Arial" w:cs="Arial"/>
        </w:rPr>
        <w:t xml:space="preserve">using Witbe’s Remote Eye Controller (REC) software to remotely access and control any device plugged into a Witbox. With </w:t>
      </w:r>
      <w:r>
        <w:rPr>
          <w:rFonts w:ascii="Arial" w:eastAsia="Times New Roman" w:hAnsi="Arial" w:cs="Arial"/>
        </w:rPr>
        <w:t xml:space="preserve">Witbe’s </w:t>
      </w:r>
      <w:r>
        <w:rPr>
          <w:rFonts w:ascii="Arial" w:eastAsia="Times New Roman" w:hAnsi="Arial" w:cs="Arial"/>
        </w:rPr>
        <w:t xml:space="preserve">REC, teams </w:t>
      </w:r>
      <w:r>
        <w:rPr>
          <w:rFonts w:ascii="Arial" w:eastAsia="Times New Roman" w:hAnsi="Arial" w:cs="Arial"/>
        </w:rPr>
        <w:t xml:space="preserve">can </w:t>
      </w:r>
      <w:r>
        <w:rPr>
          <w:rFonts w:ascii="Arial" w:eastAsia="Times New Roman" w:hAnsi="Arial" w:cs="Arial"/>
        </w:rPr>
        <w:t>collaborat</w:t>
      </w:r>
      <w:r>
        <w:rPr>
          <w:rFonts w:ascii="Arial" w:eastAsia="Times New Roman" w:hAnsi="Arial" w:cs="Arial"/>
        </w:rPr>
        <w:t>e</w:t>
      </w:r>
      <w:r>
        <w:rPr>
          <w:rFonts w:ascii="Arial" w:eastAsia="Times New Roman" w:hAnsi="Arial" w:cs="Arial"/>
        </w:rPr>
        <w:t xml:space="preserve"> </w:t>
      </w:r>
      <w:r>
        <w:rPr>
          <w:rFonts w:ascii="Arial" w:eastAsia="Times New Roman" w:hAnsi="Arial" w:cs="Arial"/>
        </w:rPr>
        <w:t xml:space="preserve">and </w:t>
      </w:r>
      <w:r>
        <w:rPr>
          <w:rFonts w:ascii="Arial" w:eastAsia="Times New Roman" w:hAnsi="Arial" w:cs="Arial"/>
        </w:rPr>
        <w:t xml:space="preserve">virtually monitor PBTV </w:t>
      </w:r>
      <w:r>
        <w:rPr>
          <w:rFonts w:ascii="Arial" w:eastAsia="Times New Roman" w:hAnsi="Arial" w:cs="Arial"/>
        </w:rPr>
        <w:t>STBs</w:t>
      </w:r>
      <w:r>
        <w:rPr>
          <w:rFonts w:ascii="Arial" w:eastAsia="Times New Roman" w:hAnsi="Arial" w:cs="Arial"/>
        </w:rPr>
        <w:t xml:space="preserve"> across the regions they operate in.</w:t>
      </w:r>
    </w:p>
    <w:p w14:paraId="35589864" w14:textId="77777777">
      <w:pPr>
        <w:spacing w:line="360" w:lineRule="auto"/>
        <w:textAlignment w:val="baseline"/>
        <w:rPr>
          <w:rFonts w:ascii="Arial" w:eastAsia="Times New Roman" w:hAnsi="Arial" w:cs="Arial"/>
        </w:rPr>
      </w:pPr>
    </w:p>
    <w:p w14:paraId="28461F67" w14:textId="7205C2E2">
      <w:pPr>
        <w:spacing w:line="360" w:lineRule="auto"/>
        <w:textAlignment w:val="baseline"/>
        <w:rPr>
          <w:rFonts w:ascii="Arial" w:eastAsia="Times New Roman" w:hAnsi="Arial" w:cs="Arial"/>
        </w:rPr>
      </w:pPr>
      <w:r>
        <w:rPr>
          <w:rFonts w:ascii="Arial" w:eastAsia="Times New Roman" w:hAnsi="Arial" w:cs="Arial"/>
        </w:rPr>
        <w:t xml:space="preserve">“Our </w:t>
      </w:r>
      <w:r>
        <w:rPr>
          <w:rFonts w:ascii="Arial" w:eastAsia="Times New Roman" w:hAnsi="Arial" w:cs="Arial"/>
        </w:rPr>
        <w:t xml:space="preserve">robust, </w:t>
      </w:r>
      <w:r>
        <w:rPr>
          <w:rFonts w:ascii="Arial" w:eastAsia="Times New Roman" w:hAnsi="Arial" w:cs="Arial"/>
        </w:rPr>
        <w:t xml:space="preserve">proactive monitoring technology was designed to help providers keep a reliable eye on their video service 24/7,” </w:t>
      </w:r>
      <w:r>
        <w:rPr>
          <w:rFonts w:ascii="Arial" w:eastAsia="Times New Roman" w:hAnsi="Arial" w:cs="Arial"/>
        </w:rPr>
        <w:t xml:space="preserve">said </w:t>
      </w:r>
      <w:r>
        <w:rPr>
          <w:rFonts w:ascii="Arial" w:eastAsia="Times New Roman" w:hAnsi="Arial" w:cs="Arial"/>
        </w:rPr>
        <w:t>Mathieu Planche, CEO at Witbe. “</w:t>
      </w:r>
      <w:r>
        <w:rPr>
          <w:rFonts w:ascii="Arial" w:eastAsia="Times New Roman" w:hAnsi="Arial" w:cs="Arial"/>
        </w:rPr>
        <w:t xml:space="preserve">Witbe’s technology is just as effective and dependable for providers focusing on the specific needs of local markets as it is for global players. Paul Bunyan Communications choosing Witbe’s technology </w:t>
      </w:r>
      <w:r>
        <w:rPr>
          <w:rFonts w:ascii="Arial" w:eastAsia="Times New Roman" w:hAnsi="Arial" w:cs="Arial"/>
        </w:rPr>
        <w:t>unde</w:t>
      </w:r>
      <w:r>
        <w:rPr>
          <w:rFonts w:ascii="Arial" w:eastAsia="Times New Roman" w:hAnsi="Arial" w:cs="Arial"/>
        </w:rPr>
        <w:t>rlines</w:t>
      </w:r>
      <w:r>
        <w:rPr>
          <w:rFonts w:ascii="Arial" w:eastAsia="Times New Roman" w:hAnsi="Arial" w:cs="Arial"/>
        </w:rPr>
        <w:t xml:space="preserve"> our commitment to delivering </w:t>
      </w:r>
      <w:r>
        <w:rPr>
          <w:rFonts w:ascii="Arial" w:eastAsia="Times New Roman" w:hAnsi="Arial" w:cs="Arial"/>
        </w:rPr>
        <w:t xml:space="preserve">innovative </w:t>
      </w:r>
      <w:r>
        <w:rPr>
          <w:rFonts w:ascii="Arial" w:eastAsia="Times New Roman" w:hAnsi="Arial" w:cs="Arial"/>
        </w:rPr>
        <w:t>solutions that meet the highest standards in the industry</w:t>
      </w:r>
      <w:r>
        <w:rPr>
          <w:rFonts w:ascii="Arial" w:eastAsia="Times New Roman" w:hAnsi="Arial" w:cs="Arial"/>
        </w:rPr>
        <w:t>,</w:t>
      </w:r>
      <w:r>
        <w:rPr>
          <w:rFonts w:ascii="Arial" w:eastAsia="Times New Roman" w:hAnsi="Arial" w:cs="Arial"/>
        </w:rPr>
        <w:t xml:space="preserve"> </w:t>
      </w:r>
      <w:r>
        <w:rPr>
          <w:rFonts w:ascii="Arial" w:eastAsia="Times New Roman" w:hAnsi="Arial" w:cs="Arial"/>
        </w:rPr>
        <w:t>ensur</w:t>
      </w:r>
      <w:r>
        <w:rPr>
          <w:rFonts w:ascii="Arial" w:eastAsia="Times New Roman" w:hAnsi="Arial" w:cs="Arial"/>
        </w:rPr>
        <w:t>ing</w:t>
      </w:r>
      <w:r>
        <w:rPr>
          <w:rFonts w:ascii="Arial" w:eastAsia="Times New Roman" w:hAnsi="Arial" w:cs="Arial"/>
        </w:rPr>
        <w:t xml:space="preserve"> our </w:t>
      </w:r>
      <w:r>
        <w:rPr>
          <w:rFonts w:ascii="Arial" w:eastAsia="Times New Roman" w:hAnsi="Arial" w:cs="Arial"/>
        </w:rPr>
        <w:t>customers</w:t>
      </w:r>
      <w:r>
        <w:rPr>
          <w:rFonts w:ascii="Arial" w:eastAsia="Times New Roman" w:hAnsi="Arial" w:cs="Arial"/>
        </w:rPr>
        <w:t xml:space="preserve"> always have the </w:t>
      </w:r>
      <w:r>
        <w:rPr>
          <w:rFonts w:ascii="Arial" w:eastAsia="Times New Roman" w:hAnsi="Arial" w:cs="Arial"/>
        </w:rPr>
        <w:t xml:space="preserve">most </w:t>
      </w:r>
      <w:r>
        <w:rPr>
          <w:rFonts w:ascii="Arial" w:eastAsia="Times New Roman" w:hAnsi="Arial" w:cs="Arial"/>
        </w:rPr>
        <w:t>effective</w:t>
      </w:r>
      <w:r>
        <w:rPr>
          <w:rFonts w:ascii="Arial" w:eastAsia="Times New Roman" w:hAnsi="Arial" w:cs="Arial"/>
        </w:rPr>
        <w:t xml:space="preserve"> tools available</w:t>
      </w:r>
      <w:r>
        <w:rPr>
          <w:rFonts w:ascii="Arial" w:eastAsia="Times New Roman" w:hAnsi="Arial" w:cs="Arial"/>
        </w:rPr>
        <w:t xml:space="preserve"> to them</w:t>
      </w:r>
      <w:r>
        <w:rPr>
          <w:rFonts w:ascii="Arial" w:eastAsia="Times New Roman" w:hAnsi="Arial" w:cs="Arial"/>
        </w:rPr>
        <w:t>.</w:t>
      </w:r>
      <w:r>
        <w:rPr>
          <w:rFonts w:ascii="Arial" w:eastAsia="Times New Roman" w:hAnsi="Arial" w:cs="Arial"/>
        </w:rPr>
        <w:t>”</w:t>
      </w:r>
    </w:p>
    <w:p w14:paraId="7835ADE5" w14:textId="77777777">
      <w:pPr>
        <w:spacing w:line="360" w:lineRule="auto"/>
        <w:textAlignment w:val="baseline"/>
        <w:rPr>
          <w:rFonts w:ascii="Arial" w:eastAsia="Times New Roman" w:hAnsi="Arial" w:cs="Arial"/>
        </w:rPr>
      </w:pPr>
    </w:p>
    <w:p w14:paraId="35A30E4B" w14:textId="48C46441">
      <w:pPr>
        <w:spacing w:line="360" w:lineRule="auto"/>
        <w:textAlignment w:val="baseline"/>
        <w:rPr>
          <w:rFonts w:ascii="Arial" w:eastAsia="Times New Roman" w:hAnsi="Arial" w:cs="Arial"/>
          <w:szCs w:val="22"/>
        </w:rPr>
      </w:pPr>
      <w:r>
        <w:rPr>
          <w:rFonts w:ascii="Arial" w:eastAsia="Times New Roman" w:hAnsi="Arial" w:cs="Arial"/>
          <w:szCs w:val="22"/>
        </w:rPr>
        <w:t xml:space="preserve">Additional information about Witbe’s technology, Software Suite, and Witbox product line is available at </w:t>
      </w:r>
      <w:hyperlink r:id="rId11" w:history="1">
        <w:r>
          <w:rPr>
            <w:rStyle w:val="Hyperlink"/>
            <w:rFonts w:ascii="Arial" w:eastAsia="Times New Roman" w:hAnsi="Arial" w:cs="Arial"/>
            <w:szCs w:val="22"/>
          </w:rPr>
          <w:t>www.witbe.net</w:t>
        </w:r>
      </w:hyperlink>
      <w:r>
        <w:rPr>
          <w:rFonts w:ascii="Arial" w:eastAsia="Times New Roman" w:hAnsi="Arial" w:cs="Arial"/>
          <w:szCs w:val="22"/>
        </w:rPr>
        <w:t xml:space="preserve">. </w:t>
      </w:r>
      <w:r>
        <w:rPr>
          <w:rFonts w:ascii="Arial" w:eastAsia="Times New Roman" w:hAnsi="Arial" w:cs="Arial"/>
          <w:szCs w:val="22"/>
        </w:rPr>
        <w:t xml:space="preserve"> </w:t>
      </w:r>
    </w:p>
    <w:p w14:paraId="7D69D35A" w14:textId="77777777">
      <w:pPr>
        <w:spacing w:line="360" w:lineRule="auto"/>
        <w:textAlignment w:val="baseline"/>
        <w:rPr>
          <w:rFonts w:ascii="Arial" w:eastAsia="Times New Roman" w:hAnsi="Arial" w:cs="Arial"/>
          <w:szCs w:val="22"/>
        </w:rPr>
      </w:pPr>
    </w:p>
    <w:p w14:paraId="1906A7F1" w14:textId="77F69FC4">
      <w:pPr>
        <w:spacing w:line="360" w:lineRule="auto"/>
        <w:jc w:val="center"/>
        <w:textAlignment w:val="baseline"/>
        <w:rPr>
          <w:rFonts w:ascii="Arial" w:eastAsia="Arial" w:hAnsi="Arial" w:cs="Arial"/>
          <w:b/>
          <w:bCs/>
          <w:color w:val="000000" w:themeColor="text1"/>
          <w:szCs w:val="22"/>
        </w:rPr>
      </w:pPr>
      <w:r>
        <w:rPr>
          <w:rFonts w:ascii="Arial" w:eastAsia="Times New Roman" w:hAnsi="Arial" w:cs="Arial"/>
          <w:szCs w:val="22"/>
        </w:rPr>
        <w:t>###</w:t>
      </w:r>
    </w:p>
    <w:p w14:paraId="04F8B28F" w14:textId="176A2045">
      <w:pPr>
        <w:spacing w:line="360" w:lineRule="auto"/>
        <w:textAlignment w:val="baseline"/>
        <w:rPr>
          <w:rFonts w:ascii="Arial" w:eastAsia="Times New Roman" w:hAnsi="Arial" w:cs="Arial"/>
          <w:sz w:val="20"/>
          <w:szCs w:val="20"/>
        </w:rPr>
      </w:pPr>
    </w:p>
    <w:p w14:paraId="1F56E621" w14:textId="77777777">
      <w:pPr>
        <w:textAlignment w:val="baseline"/>
        <w:rPr>
          <w:rFonts w:ascii="Arial" w:eastAsia="Times New Roman" w:hAnsi="Arial" w:cs="Arial"/>
          <w:b/>
          <w:bCs/>
          <w:sz w:val="20"/>
          <w:szCs w:val="20"/>
        </w:rPr>
      </w:pPr>
      <w:r>
        <w:rPr>
          <w:rFonts w:ascii="Arial" w:eastAsia="Times New Roman" w:hAnsi="Arial" w:cs="Arial"/>
          <w:b/>
          <w:bCs/>
          <w:sz w:val="20"/>
          <w:szCs w:val="20"/>
        </w:rPr>
        <w:t>About Witbe (</w:t>
      </w:r>
      <w:hyperlink r:id="rId12" w:history="1">
        <w:r>
          <w:rPr>
            <w:rStyle w:val="Hyperlink"/>
            <w:rFonts w:ascii="Arial" w:eastAsia="Times New Roman" w:hAnsi="Arial" w:cs="Arial"/>
            <w:b/>
            <w:bCs/>
            <w:sz w:val="20"/>
            <w:szCs w:val="20"/>
          </w:rPr>
          <w:t>www.witbe.net</w:t>
        </w:r>
      </w:hyperlink>
      <w:r>
        <w:rPr>
          <w:rFonts w:ascii="Arial" w:eastAsia="Times New Roman" w:hAnsi="Arial" w:cs="Arial"/>
          <w:b/>
          <w:bCs/>
          <w:sz w:val="20"/>
          <w:szCs w:val="20"/>
        </w:rPr>
        <w:t>)</w:t>
      </w:r>
    </w:p>
    <w:p w14:paraId="63C73AF4" w14:textId="77777777">
      <w:pPr>
        <w:textAlignment w:val="baseline"/>
        <w:rPr>
          <w:rFonts w:ascii="Arial" w:eastAsia="Times New Roman" w:hAnsi="Arial" w:cs="Arial"/>
          <w:sz w:val="20"/>
          <w:szCs w:val="20"/>
        </w:rPr>
      </w:pPr>
      <w:r>
        <w:rPr>
          <w:rFonts w:ascii="Arial" w:eastAsia="Times New Roman" w:hAnsi="Arial" w:cs="Arial"/>
          <w:sz w:val="20"/>
          <w:szCs w:val="20"/>
        </w:rPr>
        <w:t>Witbe (Euronext Growth - FR0013143872 - ALWIT) provides test automation and proactive monitoring technology for global video services. Headquartered in Paris with locations across the globe, the company makes award-winning hardware and software applications for video streaming providers that test the quality of experience their customers receive. Witbe is the only company on the market capable of testing any video service running on any device (including PCs, smartphones, STBs, and smart TVs) over any network (including fiber, 5G, and OTT).</w:t>
      </w:r>
    </w:p>
    <w:p w14:paraId="6D2DA0F8" w14:textId="77777777">
      <w:pPr>
        <w:textAlignment w:val="baseline"/>
        <w:rPr>
          <w:rFonts w:ascii="Arial" w:eastAsia="Times New Roman" w:hAnsi="Arial" w:cs="Arial"/>
          <w:sz w:val="20"/>
          <w:szCs w:val="20"/>
        </w:rPr>
      </w:pPr>
    </w:p>
    <w:p w14:paraId="0A852D61" w14:textId="1AF48226">
      <w:pPr>
        <w:textAlignment w:val="baseline"/>
        <w:rPr>
          <w:rFonts w:ascii="Arial" w:eastAsia="Times New Roman" w:hAnsi="Arial" w:cs="Arial"/>
          <w:sz w:val="20"/>
          <w:szCs w:val="20"/>
        </w:rPr>
      </w:pPr>
      <w:r>
        <w:rPr>
          <w:rFonts w:ascii="Arial" w:eastAsia="Times New Roman" w:hAnsi="Arial" w:cs="Arial"/>
          <w:sz w:val="20"/>
          <w:szCs w:val="20"/>
        </w:rPr>
        <w:t>Thanks to its revolutionary Witbox and powerful Witbe Software Suite, the company recently launched its Ad Monitoring and Matching technology for dynamically inserted streaming ads. Witbe is proud to have customers — including Comcast, Cox, Verizon, Peacock, and Orange</w:t>
      </w:r>
      <w:r>
        <w:rPr>
          <w:rFonts w:ascii="Arial" w:eastAsia="Times New Roman" w:hAnsi="Arial" w:cs="Arial"/>
          <w:sz w:val="20"/>
          <w:szCs w:val="20"/>
        </w:rPr>
        <w:t xml:space="preserve"> </w:t>
      </w:r>
      <w:r>
        <w:rPr>
          <w:rFonts w:ascii="Arial" w:eastAsia="Times New Roman" w:hAnsi="Arial" w:cs="Arial"/>
          <w:sz w:val="20"/>
          <w:szCs w:val="20"/>
        </w:rPr>
        <w:t xml:space="preserve">— in more than 50 countries. More information and further updates are available at </w:t>
      </w:r>
      <w:hyperlink r:id="rId13" w:history="1">
        <w:r>
          <w:rPr>
            <w:rStyle w:val="Hyperlink"/>
            <w:rFonts w:ascii="Arial" w:eastAsia="Times New Roman" w:hAnsi="Arial" w:cs="Arial"/>
            <w:sz w:val="20"/>
            <w:szCs w:val="20"/>
          </w:rPr>
          <w:t>www.witbe.net</w:t>
        </w:r>
      </w:hyperlink>
      <w:r>
        <w:rPr>
          <w:rFonts w:ascii="Arial" w:eastAsia="Times New Roman" w:hAnsi="Arial" w:cs="Arial"/>
          <w:sz w:val="20"/>
          <w:szCs w:val="20"/>
        </w:rPr>
        <w:t>.</w:t>
      </w:r>
    </w:p>
    <w:p w14:paraId="0ECB9244" w14:textId="77777777">
      <w:pPr>
        <w:textAlignment w:val="baseline"/>
        <w:rPr>
          <w:rFonts w:ascii="Arial" w:eastAsia="Times New Roman" w:hAnsi="Arial" w:cs="Arial"/>
          <w:b/>
          <w:bCs/>
          <w:sz w:val="20"/>
          <w:szCs w:val="20"/>
        </w:rPr>
      </w:pPr>
    </w:p>
    <w:p w14:paraId="57F467D2" w14:textId="74A8E7A5">
      <w:pPr>
        <w:textAlignment w:val="baseline"/>
        <w:rPr>
          <w:rFonts w:ascii="Arial" w:eastAsia="Times New Roman" w:hAnsi="Arial" w:cs="Arial"/>
          <w:b/>
          <w:bCs/>
          <w:sz w:val="20"/>
          <w:szCs w:val="20"/>
        </w:rPr>
      </w:pPr>
      <w:r>
        <w:rPr>
          <w:rFonts w:ascii="Arial" w:eastAsia="Times New Roman" w:hAnsi="Arial" w:cs="Arial"/>
          <w:b/>
          <w:bCs/>
          <w:sz w:val="20"/>
          <w:szCs w:val="20"/>
        </w:rPr>
        <w:t xml:space="preserve">About </w:t>
      </w:r>
      <w:r>
        <w:rPr>
          <w:rFonts w:ascii="Arial" w:eastAsia="Times New Roman" w:hAnsi="Arial" w:cs="Arial"/>
          <w:b/>
          <w:bCs/>
          <w:sz w:val="20"/>
          <w:szCs w:val="20"/>
        </w:rPr>
        <w:t>Paul Bunyan Communications (</w:t>
      </w:r>
      <w:hyperlink r:id="rId14" w:history="1">
        <w:r>
          <w:rPr>
            <w:rStyle w:val="Hyperlink"/>
            <w:rFonts w:ascii="Arial" w:eastAsia="Times New Roman" w:hAnsi="Arial" w:cs="Arial"/>
            <w:b/>
            <w:bCs/>
            <w:sz w:val="20"/>
            <w:szCs w:val="20"/>
          </w:rPr>
          <w:t>www.paulbunyan.net</w:t>
        </w:r>
      </w:hyperlink>
      <w:r>
        <w:rPr>
          <w:rFonts w:ascii="Arial" w:eastAsia="Times New Roman" w:hAnsi="Arial" w:cs="Arial"/>
          <w:b/>
          <w:bCs/>
          <w:sz w:val="20"/>
          <w:szCs w:val="20"/>
        </w:rPr>
        <w:t>)</w:t>
      </w:r>
    </w:p>
    <w:p w14:paraId="295FA93E" w14:textId="1A484AC7">
      <w:pPr>
        <w:textAlignment w:val="baseline"/>
        <w:rPr>
          <w:rFonts w:ascii="Arial" w:eastAsia="Times New Roman" w:hAnsi="Arial" w:cs="Arial"/>
          <w:sz w:val="20"/>
          <w:szCs w:val="20"/>
        </w:rPr>
      </w:pPr>
      <w:r>
        <w:rPr>
          <w:rFonts w:ascii="Arial" w:eastAsia="Times New Roman" w:hAnsi="Arial" w:cs="Arial"/>
          <w:sz w:val="20"/>
          <w:szCs w:val="20"/>
        </w:rPr>
        <w:t>Paul Bunyan Communications has one of the largest and fastest rural all-fiber</w:t>
      </w:r>
      <w:r>
        <w:rPr>
          <w:rFonts w:ascii="Arial" w:eastAsia="Times New Roman" w:hAnsi="Arial" w:cs="Arial"/>
          <w:sz w:val="20"/>
          <w:szCs w:val="20"/>
        </w:rPr>
        <w:t>-</w:t>
      </w:r>
      <w:r>
        <w:rPr>
          <w:rFonts w:ascii="Arial" w:eastAsia="Times New Roman" w:hAnsi="Arial" w:cs="Arial"/>
          <w:sz w:val="20"/>
          <w:szCs w:val="20"/>
        </w:rPr>
        <w:t xml:space="preserve">optic networks in the United States, with over 6,000 square miles throughout most of Beltrami County and portions of Aitkin, Cass, Hubbard, Itasca, Koochiching, and St. Louis counties. The cooperative provides GigaZone Internet with speeds up to 10 Gig, digital and high-definition television services, digital voice services, and </w:t>
      </w:r>
      <w:r>
        <w:rPr>
          <w:rFonts w:ascii="Arial" w:eastAsia="Times New Roman" w:hAnsi="Arial" w:cs="Arial"/>
          <w:sz w:val="20"/>
          <w:szCs w:val="20"/>
        </w:rPr>
        <w:t>r</w:t>
      </w:r>
      <w:r>
        <w:rPr>
          <w:rFonts w:ascii="Arial" w:eastAsia="Times New Roman" w:hAnsi="Arial" w:cs="Arial"/>
          <w:sz w:val="20"/>
          <w:szCs w:val="20"/>
        </w:rPr>
        <w:t xml:space="preserve">esidential and </w:t>
      </w:r>
      <w:r>
        <w:rPr>
          <w:rFonts w:ascii="Arial" w:eastAsia="Times New Roman" w:hAnsi="Arial" w:cs="Arial"/>
          <w:sz w:val="20"/>
          <w:szCs w:val="20"/>
        </w:rPr>
        <w:t>b</w:t>
      </w:r>
      <w:r>
        <w:rPr>
          <w:rFonts w:ascii="Arial" w:eastAsia="Times New Roman" w:hAnsi="Arial" w:cs="Arial"/>
          <w:sz w:val="20"/>
          <w:szCs w:val="20"/>
        </w:rPr>
        <w:t>usiness IT services. It is also northern Minnesota’s certified Apple Service Center.</w:t>
      </w:r>
    </w:p>
    <w:p w14:paraId="45962A4E" w14:textId="77777777">
      <w:pPr>
        <w:textAlignment w:val="baseline"/>
        <w:rPr>
          <w:rFonts w:ascii="Arial" w:eastAsia="Times New Roman" w:hAnsi="Arial" w:cs="Arial"/>
          <w:i/>
          <w:iCs/>
          <w:sz w:val="20"/>
          <w:szCs w:val="20"/>
        </w:rPr>
      </w:pPr>
    </w:p>
    <w:p w14:paraId="0EDAA8F6" w14:textId="06922F7E">
      <w:pPr>
        <w:rPr>
          <w:rStyle w:val="Hyperlink"/>
          <w:rFonts w:ascii="Arial" w:eastAsia="Arial" w:hAnsi="Arial" w:cs="Arial"/>
          <w:sz w:val="20"/>
          <w:szCs w:val="20"/>
        </w:rPr>
      </w:pPr>
      <w:r>
        <w:rPr>
          <w:rFonts w:ascii="Arial" w:eastAsia="Arial" w:hAnsi="Arial" w:cs="Arial"/>
          <w:b/>
          <w:bCs/>
          <w:color w:val="000000" w:themeColor="text1"/>
          <w:sz w:val="20"/>
          <w:szCs w:val="20"/>
        </w:rPr>
        <w:t xml:space="preserve">Link to Word Doc: </w:t>
      </w:r>
      <w:hyperlink r:id="rId15" w:history="1">
        <w:r>
          <w:rPr>
            <w:rStyle w:val="Hyperlink"/>
            <w:rFonts w:ascii="Arial" w:eastAsia="Arial" w:hAnsi="Arial" w:cs="Arial"/>
            <w:sz w:val="20"/>
            <w:szCs w:val="20"/>
          </w:rPr>
          <w:t>www.202comms.com/Witbe/240625-Witbe-Paul_Bunyan_Communications.docx</w:t>
        </w:r>
      </w:hyperlink>
    </w:p>
    <w:p w14:paraId="759098D7" w14:textId="77777777">
      <w:pPr>
        <w:rPr>
          <w:rFonts w:ascii="Arial" w:eastAsia="Arial" w:hAnsi="Arial" w:cs="Arial"/>
          <w:color w:val="0000FF"/>
          <w:sz w:val="20"/>
          <w:szCs w:val="20"/>
          <w:u w:val="single"/>
        </w:rPr>
      </w:pPr>
    </w:p>
    <w:p w14:paraId="4BEC1636" w14:textId="708A8C9B">
      <w:pPr>
        <w:pStyle w:val="paragraph"/>
        <w:spacing w:before="0" w:beforeAutospacing="0" w:after="0" w:afterAutospacing="0"/>
        <w:textAlignment w:val="baseline"/>
        <w:rPr>
          <w:rFonts w:ascii="Segoe UI" w:hAnsi="Segoe UI" w:cs="Segoe UI"/>
          <w:sz w:val="20"/>
          <w:szCs w:val="20"/>
        </w:rPr>
      </w:pPr>
      <w:r>
        <w:rPr>
          <w:rStyle w:val="normaltextrun"/>
          <w:rFonts w:ascii="Arial" w:hAnsi="Arial" w:cs="Arial"/>
          <w:b/>
          <w:bCs/>
          <w:sz w:val="20"/>
          <w:szCs w:val="20"/>
        </w:rPr>
        <w:t xml:space="preserve">Photo Link: </w:t>
      </w:r>
      <w:hyperlink r:id="rId16" w:history="1">
        <w:r>
          <w:rPr>
            <w:rStyle w:val="Hyperlink"/>
            <w:rFonts w:ascii="Arial" w:eastAsia="Arial" w:hAnsi="Arial" w:cs="Arial"/>
            <w:sz w:val="20"/>
            <w:szCs w:val="20"/>
          </w:rPr>
          <w:t>www.202comms.com/Witbe/Remote_Eye_Controller.png</w:t>
        </w:r>
      </w:hyperlink>
    </w:p>
    <w:p w14:paraId="3B1D033D" w14:textId="611527B0">
      <w:pPr>
        <w:pStyle w:val="paragraph"/>
        <w:spacing w:before="0" w:beforeAutospacing="0" w:after="0" w:afterAutospacing="0"/>
        <w:textAlignment w:val="baseline"/>
        <w:rPr>
          <w:rFonts w:ascii="Segoe UI" w:hAnsi="Segoe UI" w:cs="Segoe UI"/>
          <w:sz w:val="20"/>
          <w:szCs w:val="20"/>
        </w:rPr>
      </w:pPr>
      <w:r>
        <w:rPr>
          <w:rStyle w:val="normaltextrun"/>
          <w:rFonts w:ascii="Arial" w:hAnsi="Arial" w:cs="Arial"/>
          <w:b/>
          <w:bCs/>
          <w:sz w:val="20"/>
          <w:szCs w:val="20"/>
        </w:rPr>
        <w:t xml:space="preserve">Photo Caption: </w:t>
      </w:r>
      <w:r>
        <w:rPr>
          <w:rStyle w:val="normaltextrun"/>
          <w:rFonts w:ascii="Arial" w:hAnsi="Arial" w:cs="Arial"/>
          <w:sz w:val="20"/>
          <w:szCs w:val="20"/>
        </w:rPr>
        <w:t>Witbe’s Remote Eye Controller software empowers Paul Bunyan Communications to control their testing devices remotely.</w:t>
      </w:r>
    </w:p>
    <w:p w14:paraId="1EEEE781" w14:textId="77777777">
      <w:pPr>
        <w:textAlignment w:val="baseline"/>
        <w:rPr>
          <w:rFonts w:ascii="Arial" w:hAnsi="Arial" w:cs="Arial"/>
          <w:sz w:val="20"/>
          <w:szCs w:val="20"/>
        </w:rPr>
      </w:pPr>
    </w:p>
    <w:tbl>
      <w:tblPr>
        <w:tblW w:w="10427" w:type="dxa"/>
        <w:tblInd w:w="-90" w:type="dxa"/>
        <w:tblCellMar>
          <w:left w:w="0" w:type="dxa"/>
          <w:right w:w="0" w:type="dxa"/>
        </w:tblCellMar>
        <w:tblLook w:val="04A0" w:firstRow="1" w:lastRow="0" w:firstColumn="1" w:lastColumn="0" w:noHBand="0" w:noVBand="1"/>
      </w:tblPr>
      <w:tblGrid>
        <w:gridCol w:w="3060"/>
        <w:gridCol w:w="3945"/>
        <w:gridCol w:w="3422"/>
      </w:tblGrid>
      <w:tr w14:paraId="0DFD0E1A" w14:textId="77777777">
        <w:trPr>
          <w:trHeight w:val="1303"/>
        </w:trPr>
        <w:tc>
          <w:tcPr>
            <w:tcW w:w="3060" w:type="dxa"/>
            <w:tcMar>
              <w:top w:w="5" w:type="dxa"/>
              <w:left w:w="113" w:type="dxa"/>
              <w:bottom w:w="5" w:type="dxa"/>
              <w:right w:w="113" w:type="dxa"/>
            </w:tcMar>
            <w:hideMark/>
          </w:tcPr>
          <w:p w14:paraId="7865F2C8" w14:textId="77777777">
            <w:pPr>
              <w:rPr>
                <w:rFonts w:ascii="Arial" w:hAnsi="Arial" w:cs="Arial"/>
                <w:color w:val="000000"/>
                <w:sz w:val="20"/>
                <w:szCs w:val="20"/>
              </w:rPr>
            </w:pPr>
            <w:r>
              <w:rPr>
                <w:rFonts w:ascii="Arial" w:eastAsia="Arial" w:hAnsi="Arial" w:cs="Arial"/>
                <w:b/>
                <w:bCs/>
                <w:color w:val="000000"/>
                <w:sz w:val="20"/>
                <w:szCs w:val="20"/>
              </w:rPr>
              <w:t xml:space="preserve">Agency Contact: </w:t>
            </w:r>
          </w:p>
          <w:p w14:paraId="32E97108" w14:textId="77777777">
            <w:pPr>
              <w:rPr>
                <w:rFonts w:ascii="Arial" w:eastAsia="Arial" w:hAnsi="Arial" w:cs="Arial"/>
                <w:color w:val="000000"/>
                <w:sz w:val="20"/>
                <w:szCs w:val="20"/>
              </w:rPr>
            </w:pPr>
            <w:r>
              <w:rPr>
                <w:rFonts w:ascii="Arial" w:eastAsia="Arial" w:hAnsi="Arial" w:cs="Arial"/>
                <w:color w:val="000000"/>
                <w:sz w:val="20"/>
                <w:szCs w:val="20"/>
              </w:rPr>
              <w:t>Moe Lokat</w:t>
            </w:r>
          </w:p>
          <w:p w14:paraId="31A5A265" w14:textId="5C974972">
            <w:pPr>
              <w:rPr>
                <w:rFonts w:ascii="Arial" w:hAnsi="Arial" w:cs="Arial"/>
                <w:color w:val="000000"/>
                <w:sz w:val="20"/>
                <w:szCs w:val="20"/>
              </w:rPr>
            </w:pPr>
            <w:r>
              <w:rPr>
                <w:rFonts w:ascii="Arial" w:eastAsia="Arial" w:hAnsi="Arial" w:cs="Arial"/>
                <w:color w:val="000000"/>
                <w:sz w:val="20"/>
                <w:szCs w:val="20"/>
              </w:rPr>
              <w:t>202 Communications</w:t>
            </w:r>
          </w:p>
          <w:p w14:paraId="045458A1" w14:textId="77777777">
            <w:pPr>
              <w:rPr>
                <w:rFonts w:ascii="Arial" w:eastAsia="Arial" w:hAnsi="Arial" w:cs="Arial"/>
                <w:color w:val="000000"/>
                <w:sz w:val="20"/>
                <w:szCs w:val="20"/>
              </w:rPr>
            </w:pPr>
            <w:r>
              <w:rPr>
                <w:rFonts w:ascii="Arial" w:eastAsia="Arial" w:hAnsi="Arial" w:cs="Arial"/>
                <w:color w:val="000000"/>
                <w:sz w:val="20"/>
                <w:szCs w:val="20"/>
              </w:rPr>
              <w:t>Tel: +44 (0) 7973 306039</w:t>
            </w:r>
          </w:p>
          <w:p w14:paraId="3C45FD7E" w14:textId="470DD07E">
            <w:pPr>
              <w:rPr>
                <w:rFonts w:ascii="Arial" w:hAnsi="Arial" w:cs="Arial"/>
                <w:color w:val="000000"/>
                <w:sz w:val="20"/>
                <w:szCs w:val="20"/>
              </w:rPr>
            </w:pPr>
            <w:r>
              <w:rPr>
                <w:rFonts w:ascii="Arial" w:eastAsia="Arial" w:hAnsi="Arial" w:cs="Arial"/>
                <w:color w:val="000000"/>
                <w:sz w:val="20"/>
                <w:szCs w:val="20"/>
              </w:rPr>
              <w:t xml:space="preserve">Email: </w:t>
            </w:r>
            <w:hyperlink r:id="rId17" w:history="1">
              <w:r>
                <w:rPr>
                  <w:rStyle w:val="Hyperlink"/>
                  <w:rFonts w:ascii="Arial" w:eastAsia="Arial" w:hAnsi="Arial" w:cs="Arial"/>
                  <w:sz w:val="20"/>
                  <w:szCs w:val="20"/>
                </w:rPr>
                <w:t>moe@202comms.com</w:t>
              </w:r>
            </w:hyperlink>
            <w:r>
              <w:rPr>
                <w:rFonts w:ascii="Arial" w:eastAsia="Arial" w:hAnsi="Arial" w:cs="Arial"/>
                <w:color w:val="000000"/>
                <w:sz w:val="20"/>
                <w:szCs w:val="20"/>
              </w:rPr>
              <w:t xml:space="preserve"> </w:t>
            </w:r>
          </w:p>
        </w:tc>
        <w:tc>
          <w:tcPr>
            <w:tcW w:w="3945" w:type="dxa"/>
            <w:tcMar>
              <w:top w:w="5" w:type="dxa"/>
              <w:left w:w="113" w:type="dxa"/>
              <w:bottom w:w="5" w:type="dxa"/>
              <w:right w:w="113" w:type="dxa"/>
            </w:tcMar>
            <w:hideMark/>
          </w:tcPr>
          <w:p w14:paraId="641AB026" w14:textId="77777777">
            <w:pPr>
              <w:rPr>
                <w:rFonts w:ascii="Arial" w:hAnsi="Arial" w:cs="Arial"/>
                <w:color w:val="000000"/>
                <w:sz w:val="20"/>
                <w:szCs w:val="20"/>
              </w:rPr>
            </w:pPr>
            <w:r>
              <w:rPr>
                <w:rFonts w:ascii="Arial" w:eastAsia="Arial" w:hAnsi="Arial" w:cs="Arial"/>
                <w:b/>
                <w:bCs/>
                <w:color w:val="000000"/>
                <w:sz w:val="20"/>
                <w:szCs w:val="20"/>
              </w:rPr>
              <w:t>Company Contact:</w:t>
            </w:r>
          </w:p>
          <w:p w14:paraId="44E4C9C1" w14:textId="77777777">
            <w:pPr>
              <w:rPr>
                <w:rFonts w:ascii="Arial" w:hAnsi="Arial" w:cs="Arial"/>
                <w:sz w:val="20"/>
                <w:szCs w:val="20"/>
              </w:rPr>
            </w:pPr>
            <w:r>
              <w:rPr>
                <w:rFonts w:ascii="Arial" w:hAnsi="Arial" w:cs="Arial"/>
                <w:sz w:val="20"/>
                <w:szCs w:val="20"/>
              </w:rPr>
              <w:t>Noemie Galabru</w:t>
            </w:r>
            <w:r>
              <w:rPr>
                <w:rFonts w:ascii="Arial" w:hAnsi="Arial" w:cs="Arial"/>
                <w:sz w:val="20"/>
                <w:szCs w:val="20"/>
              </w:rPr>
              <w:br/>
              <w:t>Marketing Communications Manager</w:t>
            </w:r>
          </w:p>
          <w:p w14:paraId="181CB800" w14:textId="77777777">
            <w:pPr>
              <w:rPr>
                <w:rFonts w:ascii="Arial" w:hAnsi="Arial" w:cs="Arial"/>
                <w:sz w:val="20"/>
                <w:szCs w:val="20"/>
              </w:rPr>
            </w:pPr>
            <w:r>
              <w:rPr>
                <w:rFonts w:ascii="Arial" w:hAnsi="Arial" w:cs="Arial"/>
                <w:sz w:val="20"/>
                <w:szCs w:val="20"/>
              </w:rPr>
              <w:t>Tel: +1 934-799-0121</w:t>
            </w:r>
          </w:p>
          <w:p w14:paraId="20CB8509" w14:textId="77777777">
            <w:pPr>
              <w:rPr>
                <w:rFonts w:ascii="Arial" w:hAnsi="Arial" w:cs="Arial"/>
                <w:sz w:val="20"/>
                <w:szCs w:val="20"/>
              </w:rPr>
            </w:pPr>
            <w:r>
              <w:rPr>
                <w:rFonts w:ascii="Arial" w:hAnsi="Arial" w:cs="Arial"/>
                <w:sz w:val="20"/>
                <w:szCs w:val="20"/>
              </w:rPr>
              <w:t xml:space="preserve">Email: </w:t>
            </w:r>
            <w:hyperlink r:id="rId18" w:history="1">
              <w:r>
                <w:rPr>
                  <w:rStyle w:val="Hyperlink"/>
                  <w:rFonts w:ascii="Arial" w:hAnsi="Arial" w:cs="Arial"/>
                  <w:sz w:val="20"/>
                  <w:szCs w:val="20"/>
                </w:rPr>
                <w:t>noemie.galabru@witbe.net</w:t>
              </w:r>
            </w:hyperlink>
          </w:p>
          <w:p w14:paraId="29344C92" w14:textId="68D81685">
            <w:pPr>
              <w:rPr>
                <w:rFonts w:ascii="Arial" w:hAnsi="Arial" w:cs="Arial"/>
                <w:color w:val="000000"/>
                <w:sz w:val="20"/>
                <w:szCs w:val="20"/>
              </w:rPr>
            </w:pPr>
          </w:p>
        </w:tc>
        <w:tc>
          <w:tcPr>
            <w:tcW w:w="3422" w:type="dxa"/>
            <w:tcMar>
              <w:top w:w="5" w:type="dxa"/>
              <w:left w:w="113" w:type="dxa"/>
              <w:bottom w:w="5" w:type="dxa"/>
              <w:right w:w="113" w:type="dxa"/>
            </w:tcMar>
            <w:hideMark/>
          </w:tcPr>
          <w:p w14:paraId="566A4FD5" w14:textId="77777777">
            <w:pPr>
              <w:rPr>
                <w:rFonts w:ascii="Arial" w:hAnsi="Arial" w:cs="Arial"/>
                <w:b/>
                <w:bCs/>
                <w:color w:val="000000"/>
                <w:sz w:val="20"/>
                <w:szCs w:val="20"/>
              </w:rPr>
            </w:pPr>
            <w:r>
              <w:rPr>
                <w:rFonts w:ascii="Arial" w:hAnsi="Arial" w:cs="Arial"/>
                <w:b/>
                <w:bCs/>
                <w:color w:val="000000"/>
                <w:sz w:val="20"/>
                <w:szCs w:val="20"/>
              </w:rPr>
              <w:t>Witbe</w:t>
            </w:r>
          </w:p>
          <w:p w14:paraId="47859391" w14:textId="77777777">
            <w:pPr>
              <w:rPr>
                <w:rFonts w:ascii="Arial" w:hAnsi="Arial" w:cs="Arial"/>
                <w:color w:val="000000"/>
                <w:sz w:val="20"/>
                <w:szCs w:val="20"/>
              </w:rPr>
            </w:pPr>
            <w:r>
              <w:rPr>
                <w:rFonts w:ascii="Arial" w:hAnsi="Arial" w:cs="Arial"/>
                <w:color w:val="000000"/>
                <w:sz w:val="20"/>
                <w:szCs w:val="20"/>
              </w:rPr>
              <w:t>350 7th Avenue</w:t>
            </w:r>
          </w:p>
          <w:p w14:paraId="6A7AFECF" w14:textId="38107C21">
            <w:pPr>
              <w:rPr>
                <w:rFonts w:ascii="Arial" w:hAnsi="Arial" w:cs="Arial"/>
                <w:color w:val="000000"/>
                <w:sz w:val="20"/>
                <w:szCs w:val="20"/>
              </w:rPr>
            </w:pPr>
            <w:r>
              <w:rPr>
                <w:rFonts w:ascii="Arial" w:hAnsi="Arial" w:cs="Arial"/>
                <w:color w:val="000000"/>
                <w:sz w:val="20"/>
                <w:szCs w:val="20"/>
              </w:rPr>
              <w:t xml:space="preserve">Suite </w:t>
            </w:r>
            <w:r>
              <w:rPr>
                <w:rFonts w:ascii="Arial" w:hAnsi="Arial" w:cs="Arial"/>
                <w:color w:val="000000"/>
                <w:sz w:val="20"/>
                <w:szCs w:val="20"/>
              </w:rPr>
              <w:t>1500</w:t>
            </w:r>
          </w:p>
          <w:p w14:paraId="0B8E42F0" w14:textId="77777777">
            <w:pPr>
              <w:rPr>
                <w:rFonts w:ascii="Arial" w:hAnsi="Arial" w:cs="Arial"/>
                <w:color w:val="000000"/>
                <w:sz w:val="20"/>
                <w:szCs w:val="20"/>
              </w:rPr>
            </w:pPr>
            <w:r>
              <w:rPr>
                <w:rFonts w:ascii="Arial" w:hAnsi="Arial" w:cs="Arial"/>
                <w:color w:val="000000"/>
                <w:sz w:val="20"/>
                <w:szCs w:val="20"/>
              </w:rPr>
              <w:t>New York, NY 10001</w:t>
            </w:r>
          </w:p>
          <w:p w14:paraId="6BAAAEB4" w14:textId="77777777">
            <w:pPr>
              <w:rPr>
                <w:rFonts w:ascii="Arial" w:hAnsi="Arial" w:cs="Arial"/>
                <w:color w:val="000000"/>
                <w:sz w:val="20"/>
                <w:szCs w:val="20"/>
              </w:rPr>
            </w:pPr>
            <w:hyperlink r:id="rId19" w:history="1">
              <w:r>
                <w:rPr>
                  <w:rStyle w:val="Hyperlink"/>
                  <w:rFonts w:ascii="Arial" w:eastAsia="Times New Roman" w:hAnsi="Arial" w:cs="Arial"/>
                  <w:sz w:val="20"/>
                  <w:szCs w:val="20"/>
                </w:rPr>
                <w:t>www.witbe.net</w:t>
              </w:r>
            </w:hyperlink>
          </w:p>
        </w:tc>
      </w:tr>
    </w:tbl>
    <w:p w14:paraId="1A2C8724" w14:textId="77777777">
      <w:pPr>
        <w:textAlignment w:val="baseline"/>
        <w:rPr>
          <w:rFonts w:ascii="Arial" w:eastAsia="Times New Roman" w:hAnsi="Arial" w:cs="Arial"/>
          <w:sz w:val="21"/>
          <w:szCs w:val="21"/>
        </w:rPr>
      </w:pPr>
    </w:p>
    <w:sect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78130" w14:textId="77777777" w:rsidR="00D1266C" w:rsidRDefault="00D1266C" w:rsidP="00552E17">
      <w:r>
        <w:separator/>
      </w:r>
    </w:p>
  </w:endnote>
  <w:endnote w:type="continuationSeparator" w:id="0">
    <w:p w14:paraId="4CBF910D" w14:textId="77777777" w:rsidR="00D1266C" w:rsidRDefault="00D1266C" w:rsidP="00552E17">
      <w:r>
        <w:continuationSeparator/>
      </w:r>
    </w:p>
  </w:endnote>
  <w:endnote w:type="continuationNotice" w:id="1">
    <w:p w14:paraId="027F6CA2" w14:textId="77777777" w:rsidR="00D1266C" w:rsidRDefault="00D126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panose1 w:val="00000000000000000000"/>
    <w:charset w:val="4D"/>
    <w:family w:val="auto"/>
    <w:pitch w:val="variable"/>
    <w:sig w:usb0="A00000FF" w:usb1="5000E07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12A34" w14:textId="77777777" w:rsidR="00D1266C" w:rsidRDefault="00D1266C" w:rsidP="00552E17">
      <w:r>
        <w:separator/>
      </w:r>
    </w:p>
  </w:footnote>
  <w:footnote w:type="continuationSeparator" w:id="0">
    <w:p w14:paraId="2B092450" w14:textId="77777777" w:rsidR="00D1266C" w:rsidRDefault="00D1266C" w:rsidP="00552E17">
      <w:r>
        <w:continuationSeparator/>
      </w:r>
    </w:p>
  </w:footnote>
  <w:footnote w:type="continuationNotice" w:id="1">
    <w:p w14:paraId="083BF749" w14:textId="77777777" w:rsidR="00D1266C" w:rsidRDefault="00D1266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B5699"/>
    <w:multiLevelType w:val="multilevel"/>
    <w:tmpl w:val="EB2206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4D7559E0"/>
    <w:multiLevelType w:val="hybridMultilevel"/>
    <w:tmpl w:val="71962308"/>
    <w:lvl w:ilvl="0" w:tplc="08090001">
      <w:start w:val="1"/>
      <w:numFmt w:val="bullet"/>
      <w:lvlText w:val=""/>
      <w:lvlJc w:val="left"/>
      <w:pPr>
        <w:ind w:left="5147" w:hanging="360"/>
      </w:pPr>
      <w:rPr>
        <w:rFonts w:ascii="Symbol" w:hAnsi="Symbol" w:hint="default"/>
      </w:rPr>
    </w:lvl>
    <w:lvl w:ilvl="1" w:tplc="08090003" w:tentative="1">
      <w:start w:val="1"/>
      <w:numFmt w:val="bullet"/>
      <w:lvlText w:val="o"/>
      <w:lvlJc w:val="left"/>
      <w:pPr>
        <w:ind w:left="5867" w:hanging="360"/>
      </w:pPr>
      <w:rPr>
        <w:rFonts w:ascii="Courier New" w:hAnsi="Courier New" w:hint="default"/>
      </w:rPr>
    </w:lvl>
    <w:lvl w:ilvl="2" w:tplc="08090005" w:tentative="1">
      <w:start w:val="1"/>
      <w:numFmt w:val="bullet"/>
      <w:lvlText w:val=""/>
      <w:lvlJc w:val="left"/>
      <w:pPr>
        <w:ind w:left="6587" w:hanging="360"/>
      </w:pPr>
      <w:rPr>
        <w:rFonts w:ascii="Wingdings" w:hAnsi="Wingdings" w:hint="default"/>
      </w:rPr>
    </w:lvl>
    <w:lvl w:ilvl="3" w:tplc="08090001" w:tentative="1">
      <w:start w:val="1"/>
      <w:numFmt w:val="bullet"/>
      <w:lvlText w:val=""/>
      <w:lvlJc w:val="left"/>
      <w:pPr>
        <w:ind w:left="7307" w:hanging="360"/>
      </w:pPr>
      <w:rPr>
        <w:rFonts w:ascii="Symbol" w:hAnsi="Symbol" w:hint="default"/>
      </w:rPr>
    </w:lvl>
    <w:lvl w:ilvl="4" w:tplc="08090003" w:tentative="1">
      <w:start w:val="1"/>
      <w:numFmt w:val="bullet"/>
      <w:lvlText w:val="o"/>
      <w:lvlJc w:val="left"/>
      <w:pPr>
        <w:ind w:left="8027" w:hanging="360"/>
      </w:pPr>
      <w:rPr>
        <w:rFonts w:ascii="Courier New" w:hAnsi="Courier New" w:hint="default"/>
      </w:rPr>
    </w:lvl>
    <w:lvl w:ilvl="5" w:tplc="08090005" w:tentative="1">
      <w:start w:val="1"/>
      <w:numFmt w:val="bullet"/>
      <w:lvlText w:val=""/>
      <w:lvlJc w:val="left"/>
      <w:pPr>
        <w:ind w:left="8747" w:hanging="360"/>
      </w:pPr>
      <w:rPr>
        <w:rFonts w:ascii="Wingdings" w:hAnsi="Wingdings" w:hint="default"/>
      </w:rPr>
    </w:lvl>
    <w:lvl w:ilvl="6" w:tplc="08090001" w:tentative="1">
      <w:start w:val="1"/>
      <w:numFmt w:val="bullet"/>
      <w:lvlText w:val=""/>
      <w:lvlJc w:val="left"/>
      <w:pPr>
        <w:ind w:left="9467" w:hanging="360"/>
      </w:pPr>
      <w:rPr>
        <w:rFonts w:ascii="Symbol" w:hAnsi="Symbol" w:hint="default"/>
      </w:rPr>
    </w:lvl>
    <w:lvl w:ilvl="7" w:tplc="08090003" w:tentative="1">
      <w:start w:val="1"/>
      <w:numFmt w:val="bullet"/>
      <w:lvlText w:val="o"/>
      <w:lvlJc w:val="left"/>
      <w:pPr>
        <w:ind w:left="10187" w:hanging="360"/>
      </w:pPr>
      <w:rPr>
        <w:rFonts w:ascii="Courier New" w:hAnsi="Courier New" w:hint="default"/>
      </w:rPr>
    </w:lvl>
    <w:lvl w:ilvl="8" w:tplc="08090005" w:tentative="1">
      <w:start w:val="1"/>
      <w:numFmt w:val="bullet"/>
      <w:lvlText w:val=""/>
      <w:lvlJc w:val="left"/>
      <w:pPr>
        <w:ind w:left="10907" w:hanging="360"/>
      </w:pPr>
      <w:rPr>
        <w:rFonts w:ascii="Wingdings" w:hAnsi="Wingdings" w:hint="default"/>
      </w:rPr>
    </w:lvl>
  </w:abstractNum>
  <w:abstractNum w:abstractNumId="2" w15:restartNumberingAfterBreak="0">
    <w:nsid w:val="5E9429E2"/>
    <w:multiLevelType w:val="multilevel"/>
    <w:tmpl w:val="F3A0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28048578">
    <w:abstractNumId w:val="2"/>
  </w:num>
  <w:num w:numId="2" w16cid:durableId="183204337">
    <w:abstractNumId w:val="1"/>
  </w:num>
  <w:num w:numId="3" w16cid:durableId="1877621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DED"/>
    <w:rsid w:val="000015BD"/>
    <w:rsid w:val="00005304"/>
    <w:rsid w:val="0000691F"/>
    <w:rsid w:val="000134C2"/>
    <w:rsid w:val="0001720C"/>
    <w:rsid w:val="00031772"/>
    <w:rsid w:val="0003633C"/>
    <w:rsid w:val="0004159E"/>
    <w:rsid w:val="0005249D"/>
    <w:rsid w:val="00060FE0"/>
    <w:rsid w:val="000643FA"/>
    <w:rsid w:val="0007535A"/>
    <w:rsid w:val="00076F8B"/>
    <w:rsid w:val="00091BBC"/>
    <w:rsid w:val="00095BA4"/>
    <w:rsid w:val="000A1982"/>
    <w:rsid w:val="000A4BC2"/>
    <w:rsid w:val="000A5748"/>
    <w:rsid w:val="000A6000"/>
    <w:rsid w:val="000B0041"/>
    <w:rsid w:val="000B1B8B"/>
    <w:rsid w:val="000B301C"/>
    <w:rsid w:val="000B3867"/>
    <w:rsid w:val="000B7E3F"/>
    <w:rsid w:val="000C4993"/>
    <w:rsid w:val="000C5485"/>
    <w:rsid w:val="000C7B61"/>
    <w:rsid w:val="000D2265"/>
    <w:rsid w:val="000D2C92"/>
    <w:rsid w:val="000D2D4C"/>
    <w:rsid w:val="000D2F2E"/>
    <w:rsid w:val="000D4ABC"/>
    <w:rsid w:val="000E0559"/>
    <w:rsid w:val="000E6BD2"/>
    <w:rsid w:val="000F10F2"/>
    <w:rsid w:val="000F1734"/>
    <w:rsid w:val="000F364E"/>
    <w:rsid w:val="000F6079"/>
    <w:rsid w:val="000F7071"/>
    <w:rsid w:val="000F7D66"/>
    <w:rsid w:val="00100B8C"/>
    <w:rsid w:val="0010433D"/>
    <w:rsid w:val="001055DF"/>
    <w:rsid w:val="00106AC9"/>
    <w:rsid w:val="0010AF75"/>
    <w:rsid w:val="0011425F"/>
    <w:rsid w:val="00114BA5"/>
    <w:rsid w:val="001240B0"/>
    <w:rsid w:val="00125563"/>
    <w:rsid w:val="00130001"/>
    <w:rsid w:val="0013025C"/>
    <w:rsid w:val="00140FEC"/>
    <w:rsid w:val="001438C5"/>
    <w:rsid w:val="001536B3"/>
    <w:rsid w:val="00153C8A"/>
    <w:rsid w:val="0015428F"/>
    <w:rsid w:val="001552CF"/>
    <w:rsid w:val="001602F0"/>
    <w:rsid w:val="00163E6F"/>
    <w:rsid w:val="0016492C"/>
    <w:rsid w:val="0016650B"/>
    <w:rsid w:val="00172576"/>
    <w:rsid w:val="00172E14"/>
    <w:rsid w:val="00173328"/>
    <w:rsid w:val="00180341"/>
    <w:rsid w:val="001818EB"/>
    <w:rsid w:val="00182683"/>
    <w:rsid w:val="00182BCC"/>
    <w:rsid w:val="0018728A"/>
    <w:rsid w:val="00187A19"/>
    <w:rsid w:val="00187B73"/>
    <w:rsid w:val="001A03C4"/>
    <w:rsid w:val="001A5D95"/>
    <w:rsid w:val="001A738F"/>
    <w:rsid w:val="001B569F"/>
    <w:rsid w:val="001C5A73"/>
    <w:rsid w:val="001C6642"/>
    <w:rsid w:val="001D19BB"/>
    <w:rsid w:val="001D2E42"/>
    <w:rsid w:val="001E1EF3"/>
    <w:rsid w:val="001E2E81"/>
    <w:rsid w:val="001E44FC"/>
    <w:rsid w:val="001E4DAC"/>
    <w:rsid w:val="001F6739"/>
    <w:rsid w:val="0020236E"/>
    <w:rsid w:val="002028E7"/>
    <w:rsid w:val="00212075"/>
    <w:rsid w:val="0021237C"/>
    <w:rsid w:val="00226A03"/>
    <w:rsid w:val="00231EED"/>
    <w:rsid w:val="00233AEC"/>
    <w:rsid w:val="00234770"/>
    <w:rsid w:val="00236CD6"/>
    <w:rsid w:val="00241A29"/>
    <w:rsid w:val="00247692"/>
    <w:rsid w:val="00247DB9"/>
    <w:rsid w:val="0025299C"/>
    <w:rsid w:val="00253B3E"/>
    <w:rsid w:val="00253C27"/>
    <w:rsid w:val="00257885"/>
    <w:rsid w:val="0026182A"/>
    <w:rsid w:val="002618AC"/>
    <w:rsid w:val="002640F6"/>
    <w:rsid w:val="002642F0"/>
    <w:rsid w:val="00273757"/>
    <w:rsid w:val="0027482B"/>
    <w:rsid w:val="00276287"/>
    <w:rsid w:val="00277248"/>
    <w:rsid w:val="00280E24"/>
    <w:rsid w:val="00281B6A"/>
    <w:rsid w:val="002839C9"/>
    <w:rsid w:val="00286363"/>
    <w:rsid w:val="0029161B"/>
    <w:rsid w:val="002932F1"/>
    <w:rsid w:val="00293CC1"/>
    <w:rsid w:val="00296414"/>
    <w:rsid w:val="002A05E5"/>
    <w:rsid w:val="002A390D"/>
    <w:rsid w:val="002A3B10"/>
    <w:rsid w:val="002A66E5"/>
    <w:rsid w:val="002A74A8"/>
    <w:rsid w:val="002A7708"/>
    <w:rsid w:val="002B1B77"/>
    <w:rsid w:val="002B4019"/>
    <w:rsid w:val="002C3682"/>
    <w:rsid w:val="002C5CBD"/>
    <w:rsid w:val="002C7E54"/>
    <w:rsid w:val="002C7FFD"/>
    <w:rsid w:val="002D001C"/>
    <w:rsid w:val="002D121D"/>
    <w:rsid w:val="002D79C0"/>
    <w:rsid w:val="002E0A2B"/>
    <w:rsid w:val="002E0CE3"/>
    <w:rsid w:val="002E16BF"/>
    <w:rsid w:val="002E291A"/>
    <w:rsid w:val="002F33E1"/>
    <w:rsid w:val="002F78C6"/>
    <w:rsid w:val="0030164B"/>
    <w:rsid w:val="00304552"/>
    <w:rsid w:val="00304A8B"/>
    <w:rsid w:val="00305E1C"/>
    <w:rsid w:val="003112D5"/>
    <w:rsid w:val="00312C34"/>
    <w:rsid w:val="0031567F"/>
    <w:rsid w:val="00316095"/>
    <w:rsid w:val="003175E6"/>
    <w:rsid w:val="0032777C"/>
    <w:rsid w:val="0033252D"/>
    <w:rsid w:val="00333143"/>
    <w:rsid w:val="0033578A"/>
    <w:rsid w:val="00345BF3"/>
    <w:rsid w:val="0035704D"/>
    <w:rsid w:val="00357962"/>
    <w:rsid w:val="00366DDE"/>
    <w:rsid w:val="003674E1"/>
    <w:rsid w:val="00371D12"/>
    <w:rsid w:val="00374A2A"/>
    <w:rsid w:val="003772AC"/>
    <w:rsid w:val="00382B24"/>
    <w:rsid w:val="003842E8"/>
    <w:rsid w:val="0039167E"/>
    <w:rsid w:val="003A10A9"/>
    <w:rsid w:val="003A1282"/>
    <w:rsid w:val="003A4394"/>
    <w:rsid w:val="003B2F0F"/>
    <w:rsid w:val="003C0982"/>
    <w:rsid w:val="003C1E52"/>
    <w:rsid w:val="003C372F"/>
    <w:rsid w:val="003C6463"/>
    <w:rsid w:val="003D4913"/>
    <w:rsid w:val="003D65DD"/>
    <w:rsid w:val="003E6160"/>
    <w:rsid w:val="003E7E65"/>
    <w:rsid w:val="003F2FD8"/>
    <w:rsid w:val="003F3646"/>
    <w:rsid w:val="003F3B86"/>
    <w:rsid w:val="003F5C41"/>
    <w:rsid w:val="003F5D39"/>
    <w:rsid w:val="003F6F93"/>
    <w:rsid w:val="00403B77"/>
    <w:rsid w:val="00404A45"/>
    <w:rsid w:val="004145B5"/>
    <w:rsid w:val="00415486"/>
    <w:rsid w:val="00415ED5"/>
    <w:rsid w:val="00415F2A"/>
    <w:rsid w:val="004219F0"/>
    <w:rsid w:val="004246EE"/>
    <w:rsid w:val="00432192"/>
    <w:rsid w:val="004326E0"/>
    <w:rsid w:val="0043433F"/>
    <w:rsid w:val="00434AED"/>
    <w:rsid w:val="00435BE3"/>
    <w:rsid w:val="00436F9D"/>
    <w:rsid w:val="004408CC"/>
    <w:rsid w:val="00444D1E"/>
    <w:rsid w:val="00453813"/>
    <w:rsid w:val="00454175"/>
    <w:rsid w:val="00454920"/>
    <w:rsid w:val="0045544A"/>
    <w:rsid w:val="00455AF9"/>
    <w:rsid w:val="00462367"/>
    <w:rsid w:val="00462765"/>
    <w:rsid w:val="00462ADC"/>
    <w:rsid w:val="00463BC7"/>
    <w:rsid w:val="0046610B"/>
    <w:rsid w:val="00470AAD"/>
    <w:rsid w:val="0047436B"/>
    <w:rsid w:val="00493C37"/>
    <w:rsid w:val="0049553D"/>
    <w:rsid w:val="004A06F1"/>
    <w:rsid w:val="004A0824"/>
    <w:rsid w:val="004A2298"/>
    <w:rsid w:val="004B005E"/>
    <w:rsid w:val="004B0F3B"/>
    <w:rsid w:val="004B1964"/>
    <w:rsid w:val="004B2D25"/>
    <w:rsid w:val="004B5C9D"/>
    <w:rsid w:val="004B6349"/>
    <w:rsid w:val="004B6545"/>
    <w:rsid w:val="004C1BE9"/>
    <w:rsid w:val="004C1FF3"/>
    <w:rsid w:val="004C5758"/>
    <w:rsid w:val="004C6C97"/>
    <w:rsid w:val="004C7E24"/>
    <w:rsid w:val="004D026D"/>
    <w:rsid w:val="004E1DC7"/>
    <w:rsid w:val="004E32B5"/>
    <w:rsid w:val="004E499A"/>
    <w:rsid w:val="004E6ED5"/>
    <w:rsid w:val="004F183F"/>
    <w:rsid w:val="004F1907"/>
    <w:rsid w:val="004F4C01"/>
    <w:rsid w:val="005042E5"/>
    <w:rsid w:val="0050560E"/>
    <w:rsid w:val="005113EA"/>
    <w:rsid w:val="00517BE6"/>
    <w:rsid w:val="0052252B"/>
    <w:rsid w:val="00531F9B"/>
    <w:rsid w:val="00534A75"/>
    <w:rsid w:val="00536930"/>
    <w:rsid w:val="00537015"/>
    <w:rsid w:val="00544063"/>
    <w:rsid w:val="00545DED"/>
    <w:rsid w:val="00552E17"/>
    <w:rsid w:val="0055321A"/>
    <w:rsid w:val="005538BA"/>
    <w:rsid w:val="005547A9"/>
    <w:rsid w:val="005600BC"/>
    <w:rsid w:val="00562DDC"/>
    <w:rsid w:val="00562EA5"/>
    <w:rsid w:val="00564A33"/>
    <w:rsid w:val="00565863"/>
    <w:rsid w:val="005700DE"/>
    <w:rsid w:val="00574433"/>
    <w:rsid w:val="0057584B"/>
    <w:rsid w:val="005779FC"/>
    <w:rsid w:val="00577F04"/>
    <w:rsid w:val="00586521"/>
    <w:rsid w:val="00586A7C"/>
    <w:rsid w:val="005B11A8"/>
    <w:rsid w:val="005B47F8"/>
    <w:rsid w:val="005B651D"/>
    <w:rsid w:val="005C4F2A"/>
    <w:rsid w:val="005C7F89"/>
    <w:rsid w:val="005D29AF"/>
    <w:rsid w:val="005D5BCD"/>
    <w:rsid w:val="005D771D"/>
    <w:rsid w:val="005E0936"/>
    <w:rsid w:val="005E36C2"/>
    <w:rsid w:val="005E7990"/>
    <w:rsid w:val="005F2117"/>
    <w:rsid w:val="005F30A4"/>
    <w:rsid w:val="005F415A"/>
    <w:rsid w:val="005F4B09"/>
    <w:rsid w:val="006028EE"/>
    <w:rsid w:val="006049C0"/>
    <w:rsid w:val="0061477C"/>
    <w:rsid w:val="00615237"/>
    <w:rsid w:val="006237B6"/>
    <w:rsid w:val="00625F2A"/>
    <w:rsid w:val="006268E8"/>
    <w:rsid w:val="006364B1"/>
    <w:rsid w:val="00636CBE"/>
    <w:rsid w:val="00637B5D"/>
    <w:rsid w:val="00644E86"/>
    <w:rsid w:val="00645B96"/>
    <w:rsid w:val="00645E3A"/>
    <w:rsid w:val="00647348"/>
    <w:rsid w:val="00647B64"/>
    <w:rsid w:val="00650D9F"/>
    <w:rsid w:val="00651024"/>
    <w:rsid w:val="00654404"/>
    <w:rsid w:val="00656948"/>
    <w:rsid w:val="00660184"/>
    <w:rsid w:val="0066053C"/>
    <w:rsid w:val="00660784"/>
    <w:rsid w:val="00663BA3"/>
    <w:rsid w:val="00665DB1"/>
    <w:rsid w:val="006701C5"/>
    <w:rsid w:val="00671637"/>
    <w:rsid w:val="006720A1"/>
    <w:rsid w:val="00672137"/>
    <w:rsid w:val="00673790"/>
    <w:rsid w:val="00677A14"/>
    <w:rsid w:val="00680117"/>
    <w:rsid w:val="00681272"/>
    <w:rsid w:val="00686235"/>
    <w:rsid w:val="00691D64"/>
    <w:rsid w:val="00692CE4"/>
    <w:rsid w:val="00693039"/>
    <w:rsid w:val="006A1CD3"/>
    <w:rsid w:val="006A2605"/>
    <w:rsid w:val="006B1E04"/>
    <w:rsid w:val="006B4E21"/>
    <w:rsid w:val="006B6C51"/>
    <w:rsid w:val="006B772B"/>
    <w:rsid w:val="006C1589"/>
    <w:rsid w:val="006C235D"/>
    <w:rsid w:val="006C2474"/>
    <w:rsid w:val="006C5236"/>
    <w:rsid w:val="006D1E28"/>
    <w:rsid w:val="006D605A"/>
    <w:rsid w:val="006D7255"/>
    <w:rsid w:val="006E1AC7"/>
    <w:rsid w:val="006E72D8"/>
    <w:rsid w:val="006F39CD"/>
    <w:rsid w:val="006F66C7"/>
    <w:rsid w:val="00706287"/>
    <w:rsid w:val="0070737A"/>
    <w:rsid w:val="00712CEA"/>
    <w:rsid w:val="0071321E"/>
    <w:rsid w:val="00713409"/>
    <w:rsid w:val="00726E71"/>
    <w:rsid w:val="007328C9"/>
    <w:rsid w:val="00741104"/>
    <w:rsid w:val="00741E02"/>
    <w:rsid w:val="0074527B"/>
    <w:rsid w:val="00751989"/>
    <w:rsid w:val="00757795"/>
    <w:rsid w:val="00757DD1"/>
    <w:rsid w:val="00765BC4"/>
    <w:rsid w:val="00780181"/>
    <w:rsid w:val="00781858"/>
    <w:rsid w:val="0078302D"/>
    <w:rsid w:val="007842CA"/>
    <w:rsid w:val="00784563"/>
    <w:rsid w:val="007921E1"/>
    <w:rsid w:val="00795179"/>
    <w:rsid w:val="007973B1"/>
    <w:rsid w:val="007A0725"/>
    <w:rsid w:val="007A3A13"/>
    <w:rsid w:val="007B1490"/>
    <w:rsid w:val="007B39ED"/>
    <w:rsid w:val="007B3CC3"/>
    <w:rsid w:val="007C226D"/>
    <w:rsid w:val="007C4AE9"/>
    <w:rsid w:val="007E2A8E"/>
    <w:rsid w:val="007E2C4E"/>
    <w:rsid w:val="007F3A22"/>
    <w:rsid w:val="007F6CCA"/>
    <w:rsid w:val="008038B4"/>
    <w:rsid w:val="00810069"/>
    <w:rsid w:val="00813964"/>
    <w:rsid w:val="00817D05"/>
    <w:rsid w:val="008202CD"/>
    <w:rsid w:val="0082272E"/>
    <w:rsid w:val="00823615"/>
    <w:rsid w:val="00826F2E"/>
    <w:rsid w:val="00833ED5"/>
    <w:rsid w:val="008412BD"/>
    <w:rsid w:val="00843EE8"/>
    <w:rsid w:val="0084475E"/>
    <w:rsid w:val="00844E76"/>
    <w:rsid w:val="00847C55"/>
    <w:rsid w:val="00850007"/>
    <w:rsid w:val="00850849"/>
    <w:rsid w:val="0085107B"/>
    <w:rsid w:val="0085454F"/>
    <w:rsid w:val="008655DC"/>
    <w:rsid w:val="00866EE7"/>
    <w:rsid w:val="008725DA"/>
    <w:rsid w:val="00876468"/>
    <w:rsid w:val="00880D8C"/>
    <w:rsid w:val="00881C39"/>
    <w:rsid w:val="00882D5B"/>
    <w:rsid w:val="00883E25"/>
    <w:rsid w:val="00885E91"/>
    <w:rsid w:val="00890F03"/>
    <w:rsid w:val="00892DA8"/>
    <w:rsid w:val="00894DD1"/>
    <w:rsid w:val="008A06B8"/>
    <w:rsid w:val="008A1D01"/>
    <w:rsid w:val="008A5B12"/>
    <w:rsid w:val="008A5C75"/>
    <w:rsid w:val="008A640C"/>
    <w:rsid w:val="008A6CC3"/>
    <w:rsid w:val="008B4FC1"/>
    <w:rsid w:val="008B6DB4"/>
    <w:rsid w:val="008C3F03"/>
    <w:rsid w:val="008C4618"/>
    <w:rsid w:val="008D01F7"/>
    <w:rsid w:val="008D0747"/>
    <w:rsid w:val="008D5354"/>
    <w:rsid w:val="008F0CAF"/>
    <w:rsid w:val="008F1FC0"/>
    <w:rsid w:val="008F297D"/>
    <w:rsid w:val="008F5A41"/>
    <w:rsid w:val="008F77F6"/>
    <w:rsid w:val="00902AFB"/>
    <w:rsid w:val="00902E9A"/>
    <w:rsid w:val="00905D1A"/>
    <w:rsid w:val="00910F11"/>
    <w:rsid w:val="00914FE8"/>
    <w:rsid w:val="00924A71"/>
    <w:rsid w:val="009256FE"/>
    <w:rsid w:val="00926D81"/>
    <w:rsid w:val="00927E3F"/>
    <w:rsid w:val="00932E65"/>
    <w:rsid w:val="009405CE"/>
    <w:rsid w:val="009435AC"/>
    <w:rsid w:val="00944700"/>
    <w:rsid w:val="00953B2F"/>
    <w:rsid w:val="00953C31"/>
    <w:rsid w:val="00955DF3"/>
    <w:rsid w:val="00962E96"/>
    <w:rsid w:val="009775D2"/>
    <w:rsid w:val="00986937"/>
    <w:rsid w:val="00986E4D"/>
    <w:rsid w:val="0099304C"/>
    <w:rsid w:val="009934FE"/>
    <w:rsid w:val="0099793D"/>
    <w:rsid w:val="009B308C"/>
    <w:rsid w:val="009B3177"/>
    <w:rsid w:val="009C0027"/>
    <w:rsid w:val="009C24A5"/>
    <w:rsid w:val="009C2649"/>
    <w:rsid w:val="009C65BD"/>
    <w:rsid w:val="009C7C53"/>
    <w:rsid w:val="009F1611"/>
    <w:rsid w:val="009F4C7D"/>
    <w:rsid w:val="00A0003C"/>
    <w:rsid w:val="00A04BEE"/>
    <w:rsid w:val="00A06239"/>
    <w:rsid w:val="00A06AB3"/>
    <w:rsid w:val="00A12027"/>
    <w:rsid w:val="00A151A6"/>
    <w:rsid w:val="00A16711"/>
    <w:rsid w:val="00A1749B"/>
    <w:rsid w:val="00A20188"/>
    <w:rsid w:val="00A2033A"/>
    <w:rsid w:val="00A23158"/>
    <w:rsid w:val="00A2504E"/>
    <w:rsid w:val="00A26011"/>
    <w:rsid w:val="00A32057"/>
    <w:rsid w:val="00A32754"/>
    <w:rsid w:val="00A37529"/>
    <w:rsid w:val="00A45034"/>
    <w:rsid w:val="00A548BD"/>
    <w:rsid w:val="00A57C9F"/>
    <w:rsid w:val="00A60336"/>
    <w:rsid w:val="00A6687C"/>
    <w:rsid w:val="00A7432A"/>
    <w:rsid w:val="00A75370"/>
    <w:rsid w:val="00A81412"/>
    <w:rsid w:val="00A84609"/>
    <w:rsid w:val="00A869A4"/>
    <w:rsid w:val="00A943DB"/>
    <w:rsid w:val="00A95625"/>
    <w:rsid w:val="00AA55C2"/>
    <w:rsid w:val="00AB52A0"/>
    <w:rsid w:val="00AB6232"/>
    <w:rsid w:val="00AB706B"/>
    <w:rsid w:val="00AB7CD3"/>
    <w:rsid w:val="00AC17F2"/>
    <w:rsid w:val="00AC479C"/>
    <w:rsid w:val="00AC6C94"/>
    <w:rsid w:val="00AD513A"/>
    <w:rsid w:val="00AE106B"/>
    <w:rsid w:val="00AE11A8"/>
    <w:rsid w:val="00AE23A1"/>
    <w:rsid w:val="00AE4F33"/>
    <w:rsid w:val="00AE72DF"/>
    <w:rsid w:val="00AF2025"/>
    <w:rsid w:val="00AF3BDE"/>
    <w:rsid w:val="00B13E42"/>
    <w:rsid w:val="00B17091"/>
    <w:rsid w:val="00B212D7"/>
    <w:rsid w:val="00B214CB"/>
    <w:rsid w:val="00B234B9"/>
    <w:rsid w:val="00B25875"/>
    <w:rsid w:val="00B275D2"/>
    <w:rsid w:val="00B3183E"/>
    <w:rsid w:val="00B40A78"/>
    <w:rsid w:val="00B43216"/>
    <w:rsid w:val="00B43BAB"/>
    <w:rsid w:val="00B444C8"/>
    <w:rsid w:val="00B45964"/>
    <w:rsid w:val="00B462F8"/>
    <w:rsid w:val="00B516BA"/>
    <w:rsid w:val="00B5444C"/>
    <w:rsid w:val="00B55D5A"/>
    <w:rsid w:val="00B60BD3"/>
    <w:rsid w:val="00B62677"/>
    <w:rsid w:val="00B67E06"/>
    <w:rsid w:val="00B70805"/>
    <w:rsid w:val="00B84B6B"/>
    <w:rsid w:val="00B8588B"/>
    <w:rsid w:val="00B8726C"/>
    <w:rsid w:val="00B90EEE"/>
    <w:rsid w:val="00BA12A8"/>
    <w:rsid w:val="00BB04E0"/>
    <w:rsid w:val="00BB0BDD"/>
    <w:rsid w:val="00BB444C"/>
    <w:rsid w:val="00BB60BF"/>
    <w:rsid w:val="00BB7C5E"/>
    <w:rsid w:val="00BC1E9B"/>
    <w:rsid w:val="00BC6299"/>
    <w:rsid w:val="00BC734F"/>
    <w:rsid w:val="00BD0DBC"/>
    <w:rsid w:val="00BD26C9"/>
    <w:rsid w:val="00BD44CC"/>
    <w:rsid w:val="00BE11AF"/>
    <w:rsid w:val="00BF0609"/>
    <w:rsid w:val="00BF3068"/>
    <w:rsid w:val="00BF4B6B"/>
    <w:rsid w:val="00BF5F3A"/>
    <w:rsid w:val="00C01377"/>
    <w:rsid w:val="00C079A8"/>
    <w:rsid w:val="00C12DE7"/>
    <w:rsid w:val="00C16D6C"/>
    <w:rsid w:val="00C2174A"/>
    <w:rsid w:val="00C23C83"/>
    <w:rsid w:val="00C256F5"/>
    <w:rsid w:val="00C3264F"/>
    <w:rsid w:val="00C33174"/>
    <w:rsid w:val="00C42A96"/>
    <w:rsid w:val="00C528B2"/>
    <w:rsid w:val="00C627AE"/>
    <w:rsid w:val="00C63196"/>
    <w:rsid w:val="00C73CE0"/>
    <w:rsid w:val="00C81D44"/>
    <w:rsid w:val="00C82A75"/>
    <w:rsid w:val="00C85F09"/>
    <w:rsid w:val="00C9081F"/>
    <w:rsid w:val="00C973FF"/>
    <w:rsid w:val="00C9798E"/>
    <w:rsid w:val="00C97D03"/>
    <w:rsid w:val="00CA6C18"/>
    <w:rsid w:val="00CA72EB"/>
    <w:rsid w:val="00CB1CA9"/>
    <w:rsid w:val="00CC3647"/>
    <w:rsid w:val="00CD1A5E"/>
    <w:rsid w:val="00CD22C9"/>
    <w:rsid w:val="00CD2F0D"/>
    <w:rsid w:val="00CD3147"/>
    <w:rsid w:val="00CE4E32"/>
    <w:rsid w:val="00CE6837"/>
    <w:rsid w:val="00CF1915"/>
    <w:rsid w:val="00CF5379"/>
    <w:rsid w:val="00CF6335"/>
    <w:rsid w:val="00D01956"/>
    <w:rsid w:val="00D1181F"/>
    <w:rsid w:val="00D12575"/>
    <w:rsid w:val="00D1266C"/>
    <w:rsid w:val="00D14518"/>
    <w:rsid w:val="00D14C1F"/>
    <w:rsid w:val="00D14D11"/>
    <w:rsid w:val="00D15E13"/>
    <w:rsid w:val="00D16FE6"/>
    <w:rsid w:val="00D253BF"/>
    <w:rsid w:val="00D25F81"/>
    <w:rsid w:val="00D30B3B"/>
    <w:rsid w:val="00D31902"/>
    <w:rsid w:val="00D3454E"/>
    <w:rsid w:val="00D34C92"/>
    <w:rsid w:val="00D36FE6"/>
    <w:rsid w:val="00D37B49"/>
    <w:rsid w:val="00D413EE"/>
    <w:rsid w:val="00D455CA"/>
    <w:rsid w:val="00D46432"/>
    <w:rsid w:val="00D50CE7"/>
    <w:rsid w:val="00D511A8"/>
    <w:rsid w:val="00D520D3"/>
    <w:rsid w:val="00D545BC"/>
    <w:rsid w:val="00D61EAB"/>
    <w:rsid w:val="00D6308C"/>
    <w:rsid w:val="00D65325"/>
    <w:rsid w:val="00D65721"/>
    <w:rsid w:val="00D66EC6"/>
    <w:rsid w:val="00D74B6B"/>
    <w:rsid w:val="00D76174"/>
    <w:rsid w:val="00D81965"/>
    <w:rsid w:val="00D83D30"/>
    <w:rsid w:val="00D9687E"/>
    <w:rsid w:val="00D97621"/>
    <w:rsid w:val="00DA083D"/>
    <w:rsid w:val="00DA1625"/>
    <w:rsid w:val="00DB07BB"/>
    <w:rsid w:val="00DB149C"/>
    <w:rsid w:val="00DC55D8"/>
    <w:rsid w:val="00DC6BB8"/>
    <w:rsid w:val="00DD0EEC"/>
    <w:rsid w:val="00DD66A8"/>
    <w:rsid w:val="00DE5E0E"/>
    <w:rsid w:val="00DE7367"/>
    <w:rsid w:val="00DF3DF3"/>
    <w:rsid w:val="00DF4703"/>
    <w:rsid w:val="00DF7901"/>
    <w:rsid w:val="00E0176F"/>
    <w:rsid w:val="00E02A39"/>
    <w:rsid w:val="00E0357F"/>
    <w:rsid w:val="00E04230"/>
    <w:rsid w:val="00E058F8"/>
    <w:rsid w:val="00E068E6"/>
    <w:rsid w:val="00E07210"/>
    <w:rsid w:val="00E12FE7"/>
    <w:rsid w:val="00E17138"/>
    <w:rsid w:val="00E2205E"/>
    <w:rsid w:val="00E26E03"/>
    <w:rsid w:val="00E26F47"/>
    <w:rsid w:val="00E32C23"/>
    <w:rsid w:val="00E3356E"/>
    <w:rsid w:val="00E33C02"/>
    <w:rsid w:val="00E33E2D"/>
    <w:rsid w:val="00E340E9"/>
    <w:rsid w:val="00E35807"/>
    <w:rsid w:val="00E40180"/>
    <w:rsid w:val="00E43F6D"/>
    <w:rsid w:val="00E52578"/>
    <w:rsid w:val="00E528FF"/>
    <w:rsid w:val="00E5591C"/>
    <w:rsid w:val="00E57B63"/>
    <w:rsid w:val="00E6128D"/>
    <w:rsid w:val="00E64EC4"/>
    <w:rsid w:val="00E73D3B"/>
    <w:rsid w:val="00E74095"/>
    <w:rsid w:val="00E80A6D"/>
    <w:rsid w:val="00E82A1D"/>
    <w:rsid w:val="00E926C1"/>
    <w:rsid w:val="00E93744"/>
    <w:rsid w:val="00E9549F"/>
    <w:rsid w:val="00EA0A25"/>
    <w:rsid w:val="00EA0F60"/>
    <w:rsid w:val="00EA55DC"/>
    <w:rsid w:val="00EA58DC"/>
    <w:rsid w:val="00EA77D8"/>
    <w:rsid w:val="00EA7F42"/>
    <w:rsid w:val="00EB2EC7"/>
    <w:rsid w:val="00EB3055"/>
    <w:rsid w:val="00EB6E71"/>
    <w:rsid w:val="00EC61D3"/>
    <w:rsid w:val="00EC6E4D"/>
    <w:rsid w:val="00ED1BD2"/>
    <w:rsid w:val="00ED2217"/>
    <w:rsid w:val="00ED295F"/>
    <w:rsid w:val="00ED35FB"/>
    <w:rsid w:val="00ED762D"/>
    <w:rsid w:val="00EE390D"/>
    <w:rsid w:val="00EE7B59"/>
    <w:rsid w:val="00EF4F0C"/>
    <w:rsid w:val="00F03369"/>
    <w:rsid w:val="00F03AC1"/>
    <w:rsid w:val="00F0781E"/>
    <w:rsid w:val="00F114B5"/>
    <w:rsid w:val="00F1169A"/>
    <w:rsid w:val="00F12F0B"/>
    <w:rsid w:val="00F14625"/>
    <w:rsid w:val="00F230F8"/>
    <w:rsid w:val="00F2414B"/>
    <w:rsid w:val="00F25E18"/>
    <w:rsid w:val="00F30B30"/>
    <w:rsid w:val="00F32D17"/>
    <w:rsid w:val="00F359D9"/>
    <w:rsid w:val="00F46588"/>
    <w:rsid w:val="00F47C9A"/>
    <w:rsid w:val="00F5739D"/>
    <w:rsid w:val="00F60C86"/>
    <w:rsid w:val="00F67161"/>
    <w:rsid w:val="00F74157"/>
    <w:rsid w:val="00F74DF1"/>
    <w:rsid w:val="00F75E73"/>
    <w:rsid w:val="00F857CE"/>
    <w:rsid w:val="00F86D54"/>
    <w:rsid w:val="00F95584"/>
    <w:rsid w:val="00F9591B"/>
    <w:rsid w:val="00F95B53"/>
    <w:rsid w:val="00FA6B12"/>
    <w:rsid w:val="00FA7F2C"/>
    <w:rsid w:val="00FB6432"/>
    <w:rsid w:val="00FB77A5"/>
    <w:rsid w:val="00FC5958"/>
    <w:rsid w:val="00FD3EB6"/>
    <w:rsid w:val="00FD6D4B"/>
    <w:rsid w:val="00FE1686"/>
    <w:rsid w:val="00FE1942"/>
    <w:rsid w:val="00FE1C00"/>
    <w:rsid w:val="00FE5987"/>
    <w:rsid w:val="00FF3D89"/>
    <w:rsid w:val="00FF3E8B"/>
    <w:rsid w:val="00FF6F84"/>
    <w:rsid w:val="00FF7440"/>
    <w:rsid w:val="0313C6DA"/>
    <w:rsid w:val="0447D6F9"/>
    <w:rsid w:val="04CA25CB"/>
    <w:rsid w:val="0A6B1EE7"/>
    <w:rsid w:val="0C609EDE"/>
    <w:rsid w:val="10633AAD"/>
    <w:rsid w:val="1094BECD"/>
    <w:rsid w:val="16526B81"/>
    <w:rsid w:val="16AF36B7"/>
    <w:rsid w:val="16EDC043"/>
    <w:rsid w:val="187547E0"/>
    <w:rsid w:val="1AC70805"/>
    <w:rsid w:val="1ACE86D9"/>
    <w:rsid w:val="1D515D3E"/>
    <w:rsid w:val="2170B282"/>
    <w:rsid w:val="2429E3B2"/>
    <w:rsid w:val="2999F55C"/>
    <w:rsid w:val="2BE4D904"/>
    <w:rsid w:val="30CF40DD"/>
    <w:rsid w:val="320604B8"/>
    <w:rsid w:val="36031C3C"/>
    <w:rsid w:val="36199609"/>
    <w:rsid w:val="370F51CA"/>
    <w:rsid w:val="3919E9F6"/>
    <w:rsid w:val="3B31FF53"/>
    <w:rsid w:val="3D7DD9B6"/>
    <w:rsid w:val="41445289"/>
    <w:rsid w:val="441F16F1"/>
    <w:rsid w:val="45A1D124"/>
    <w:rsid w:val="46DC5914"/>
    <w:rsid w:val="46F51C73"/>
    <w:rsid w:val="4C4CBBD6"/>
    <w:rsid w:val="4CFD3161"/>
    <w:rsid w:val="4D1BAC6E"/>
    <w:rsid w:val="4E6E6332"/>
    <w:rsid w:val="50D90DEF"/>
    <w:rsid w:val="51FDC253"/>
    <w:rsid w:val="53E09472"/>
    <w:rsid w:val="54A0AEEA"/>
    <w:rsid w:val="59005749"/>
    <w:rsid w:val="5A3200D9"/>
    <w:rsid w:val="5E42D04A"/>
    <w:rsid w:val="5E9DAF59"/>
    <w:rsid w:val="61141A50"/>
    <w:rsid w:val="63450D11"/>
    <w:rsid w:val="66B245C3"/>
    <w:rsid w:val="6808F394"/>
    <w:rsid w:val="69BDEC52"/>
    <w:rsid w:val="6D8C5FAB"/>
    <w:rsid w:val="6EB6EC6D"/>
    <w:rsid w:val="70BF53AD"/>
    <w:rsid w:val="74F17407"/>
    <w:rsid w:val="773BA8C1"/>
    <w:rsid w:val="7CA86B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FD08"/>
  <w15:chartTrackingRefBased/>
  <w15:docId w15:val="{44F9AB0D-8D3A-C044-AD55-654248BA2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ntemps Games"/>
    <w:qFormat/>
    <w:rsid w:val="0035704D"/>
    <w:rPr>
      <w:rFonts w:ascii="Work Sans" w:hAnsi="Work San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176F"/>
    <w:rPr>
      <w:sz w:val="16"/>
      <w:szCs w:val="16"/>
    </w:rPr>
  </w:style>
  <w:style w:type="paragraph" w:styleId="CommentText">
    <w:name w:val="annotation text"/>
    <w:basedOn w:val="Normal"/>
    <w:link w:val="CommentTextChar"/>
    <w:uiPriority w:val="99"/>
    <w:unhideWhenUsed/>
    <w:rsid w:val="00E0176F"/>
    <w:rPr>
      <w:sz w:val="20"/>
      <w:szCs w:val="20"/>
    </w:rPr>
  </w:style>
  <w:style w:type="character" w:customStyle="1" w:styleId="CommentTextChar">
    <w:name w:val="Comment Text Char"/>
    <w:basedOn w:val="DefaultParagraphFont"/>
    <w:link w:val="CommentText"/>
    <w:uiPriority w:val="99"/>
    <w:rsid w:val="00E0176F"/>
    <w:rPr>
      <w:rFonts w:ascii="Work Sans" w:hAnsi="Work Sans"/>
      <w:sz w:val="20"/>
      <w:szCs w:val="20"/>
    </w:rPr>
  </w:style>
  <w:style w:type="paragraph" w:styleId="CommentSubject">
    <w:name w:val="annotation subject"/>
    <w:basedOn w:val="CommentText"/>
    <w:next w:val="CommentText"/>
    <w:link w:val="CommentSubjectChar"/>
    <w:uiPriority w:val="99"/>
    <w:semiHidden/>
    <w:unhideWhenUsed/>
    <w:rsid w:val="00E0176F"/>
    <w:rPr>
      <w:b/>
      <w:bCs/>
    </w:rPr>
  </w:style>
  <w:style w:type="character" w:customStyle="1" w:styleId="CommentSubjectChar">
    <w:name w:val="Comment Subject Char"/>
    <w:basedOn w:val="CommentTextChar"/>
    <w:link w:val="CommentSubject"/>
    <w:uiPriority w:val="99"/>
    <w:semiHidden/>
    <w:rsid w:val="00E0176F"/>
    <w:rPr>
      <w:rFonts w:ascii="Work Sans" w:hAnsi="Work Sans"/>
      <w:b/>
      <w:bCs/>
      <w:sz w:val="20"/>
      <w:szCs w:val="20"/>
    </w:rPr>
  </w:style>
  <w:style w:type="paragraph" w:styleId="Revision">
    <w:name w:val="Revision"/>
    <w:hidden/>
    <w:uiPriority w:val="99"/>
    <w:semiHidden/>
    <w:rsid w:val="00565863"/>
    <w:rPr>
      <w:rFonts w:ascii="Work Sans" w:hAnsi="Work Sans"/>
      <w:sz w:val="22"/>
    </w:rPr>
  </w:style>
  <w:style w:type="paragraph" w:styleId="Header">
    <w:name w:val="header"/>
    <w:basedOn w:val="Normal"/>
    <w:link w:val="HeaderChar"/>
    <w:uiPriority w:val="99"/>
    <w:unhideWhenUsed/>
    <w:rsid w:val="00552E17"/>
    <w:pPr>
      <w:tabs>
        <w:tab w:val="center" w:pos="4513"/>
        <w:tab w:val="right" w:pos="9026"/>
      </w:tabs>
    </w:pPr>
  </w:style>
  <w:style w:type="character" w:customStyle="1" w:styleId="HeaderChar">
    <w:name w:val="Header Char"/>
    <w:basedOn w:val="DefaultParagraphFont"/>
    <w:link w:val="Header"/>
    <w:uiPriority w:val="99"/>
    <w:rsid w:val="00552E17"/>
    <w:rPr>
      <w:rFonts w:ascii="Work Sans" w:hAnsi="Work Sans"/>
      <w:sz w:val="22"/>
    </w:rPr>
  </w:style>
  <w:style w:type="paragraph" w:styleId="Footer">
    <w:name w:val="footer"/>
    <w:basedOn w:val="Normal"/>
    <w:link w:val="FooterChar"/>
    <w:uiPriority w:val="99"/>
    <w:unhideWhenUsed/>
    <w:rsid w:val="00552E17"/>
    <w:pPr>
      <w:tabs>
        <w:tab w:val="center" w:pos="4513"/>
        <w:tab w:val="right" w:pos="9026"/>
      </w:tabs>
    </w:pPr>
  </w:style>
  <w:style w:type="character" w:customStyle="1" w:styleId="FooterChar">
    <w:name w:val="Footer Char"/>
    <w:basedOn w:val="DefaultParagraphFont"/>
    <w:link w:val="Footer"/>
    <w:uiPriority w:val="99"/>
    <w:rsid w:val="00552E17"/>
    <w:rPr>
      <w:rFonts w:ascii="Work Sans" w:hAnsi="Work Sans"/>
      <w:sz w:val="22"/>
    </w:rPr>
  </w:style>
  <w:style w:type="character" w:styleId="Hyperlink">
    <w:name w:val="Hyperlink"/>
    <w:basedOn w:val="DefaultParagraphFont"/>
    <w:uiPriority w:val="99"/>
    <w:unhideWhenUsed/>
    <w:rsid w:val="009435AC"/>
    <w:rPr>
      <w:color w:val="0000FF"/>
      <w:u w:val="single"/>
    </w:rPr>
  </w:style>
  <w:style w:type="character" w:styleId="UnresolvedMention">
    <w:name w:val="Unresolved Mention"/>
    <w:basedOn w:val="DefaultParagraphFont"/>
    <w:uiPriority w:val="99"/>
    <w:semiHidden/>
    <w:unhideWhenUsed/>
    <w:rsid w:val="007E2C4E"/>
    <w:rPr>
      <w:color w:val="605E5C"/>
      <w:shd w:val="clear" w:color="auto" w:fill="E1DFDD"/>
    </w:rPr>
  </w:style>
  <w:style w:type="character" w:styleId="FollowedHyperlink">
    <w:name w:val="FollowedHyperlink"/>
    <w:basedOn w:val="DefaultParagraphFont"/>
    <w:uiPriority w:val="99"/>
    <w:semiHidden/>
    <w:unhideWhenUsed/>
    <w:rsid w:val="007E2C4E"/>
    <w:rPr>
      <w:color w:val="954F72" w:themeColor="followedHyperlink"/>
      <w:u w:val="single"/>
    </w:rPr>
  </w:style>
  <w:style w:type="paragraph" w:styleId="ListParagraph">
    <w:name w:val="List Paragraph"/>
    <w:basedOn w:val="Normal"/>
    <w:uiPriority w:val="34"/>
    <w:qFormat/>
    <w:rsid w:val="000643FA"/>
    <w:pPr>
      <w:ind w:left="720"/>
      <w:contextualSpacing/>
    </w:pPr>
    <w:rPr>
      <w:rFonts w:ascii="Times New Roman" w:eastAsia="SimSun" w:hAnsi="Times New Roman" w:cs="Times New Roman"/>
      <w:sz w:val="24"/>
      <w:lang w:eastAsia="zh-CN"/>
    </w:rPr>
  </w:style>
  <w:style w:type="paragraph" w:customStyle="1" w:styleId="paragraph">
    <w:name w:val="paragraph"/>
    <w:basedOn w:val="Normal"/>
    <w:rsid w:val="006049C0"/>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6049C0"/>
  </w:style>
  <w:style w:type="character" w:customStyle="1" w:styleId="eop">
    <w:name w:val="eop"/>
    <w:basedOn w:val="DefaultParagraphFont"/>
    <w:rsid w:val="00604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383271">
      <w:bodyDiv w:val="1"/>
      <w:marLeft w:val="0"/>
      <w:marRight w:val="0"/>
      <w:marTop w:val="0"/>
      <w:marBottom w:val="0"/>
      <w:divBdr>
        <w:top w:val="none" w:sz="0" w:space="0" w:color="auto"/>
        <w:left w:val="none" w:sz="0" w:space="0" w:color="auto"/>
        <w:bottom w:val="none" w:sz="0" w:space="0" w:color="auto"/>
        <w:right w:val="none" w:sz="0" w:space="0" w:color="auto"/>
      </w:divBdr>
    </w:div>
    <w:div w:id="1014306608">
      <w:bodyDiv w:val="1"/>
      <w:marLeft w:val="0"/>
      <w:marRight w:val="0"/>
      <w:marTop w:val="0"/>
      <w:marBottom w:val="0"/>
      <w:divBdr>
        <w:top w:val="none" w:sz="0" w:space="0" w:color="auto"/>
        <w:left w:val="none" w:sz="0" w:space="0" w:color="auto"/>
        <w:bottom w:val="none" w:sz="0" w:space="0" w:color="auto"/>
        <w:right w:val="none" w:sz="0" w:space="0" w:color="auto"/>
      </w:divBdr>
    </w:div>
    <w:div w:id="1074932329">
      <w:bodyDiv w:val="1"/>
      <w:marLeft w:val="0"/>
      <w:marRight w:val="0"/>
      <w:marTop w:val="0"/>
      <w:marBottom w:val="0"/>
      <w:divBdr>
        <w:top w:val="none" w:sz="0" w:space="0" w:color="auto"/>
        <w:left w:val="none" w:sz="0" w:space="0" w:color="auto"/>
        <w:bottom w:val="none" w:sz="0" w:space="0" w:color="auto"/>
        <w:right w:val="none" w:sz="0" w:space="0" w:color="auto"/>
      </w:divBdr>
      <w:divsChild>
        <w:div w:id="132836303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637639841">
              <w:marLeft w:val="0"/>
              <w:marRight w:val="0"/>
              <w:marTop w:val="0"/>
              <w:marBottom w:val="0"/>
              <w:divBdr>
                <w:top w:val="none" w:sz="0" w:space="0" w:color="auto"/>
                <w:left w:val="none" w:sz="0" w:space="0" w:color="auto"/>
                <w:bottom w:val="none" w:sz="0" w:space="0" w:color="auto"/>
                <w:right w:val="none" w:sz="0" w:space="0" w:color="auto"/>
              </w:divBdr>
              <w:divsChild>
                <w:div w:id="1371685842">
                  <w:marLeft w:val="0"/>
                  <w:marRight w:val="0"/>
                  <w:marTop w:val="0"/>
                  <w:marBottom w:val="0"/>
                  <w:divBdr>
                    <w:top w:val="none" w:sz="0" w:space="0" w:color="auto"/>
                    <w:left w:val="none" w:sz="0" w:space="0" w:color="auto"/>
                    <w:bottom w:val="none" w:sz="0" w:space="0" w:color="auto"/>
                    <w:right w:val="none" w:sz="0" w:space="0" w:color="auto"/>
                  </w:divBdr>
                  <w:divsChild>
                    <w:div w:id="40750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433912">
      <w:bodyDiv w:val="1"/>
      <w:marLeft w:val="0"/>
      <w:marRight w:val="0"/>
      <w:marTop w:val="0"/>
      <w:marBottom w:val="0"/>
      <w:divBdr>
        <w:top w:val="none" w:sz="0" w:space="0" w:color="auto"/>
        <w:left w:val="none" w:sz="0" w:space="0" w:color="auto"/>
        <w:bottom w:val="none" w:sz="0" w:space="0" w:color="auto"/>
        <w:right w:val="none" w:sz="0" w:space="0" w:color="auto"/>
      </w:divBdr>
      <w:divsChild>
        <w:div w:id="415596348">
          <w:blockQuote w:val="1"/>
          <w:marLeft w:val="150"/>
          <w:marRight w:val="150"/>
          <w:marTop w:val="0"/>
          <w:marBottom w:val="0"/>
          <w:divBdr>
            <w:top w:val="none" w:sz="0" w:space="0" w:color="auto"/>
            <w:left w:val="none" w:sz="0" w:space="0" w:color="auto"/>
            <w:bottom w:val="none" w:sz="0" w:space="0" w:color="auto"/>
            <w:right w:val="none" w:sz="0" w:space="0" w:color="auto"/>
          </w:divBdr>
          <w:divsChild>
            <w:div w:id="1784808275">
              <w:marLeft w:val="0"/>
              <w:marRight w:val="0"/>
              <w:marTop w:val="0"/>
              <w:marBottom w:val="0"/>
              <w:divBdr>
                <w:top w:val="none" w:sz="0" w:space="0" w:color="auto"/>
                <w:left w:val="none" w:sz="0" w:space="0" w:color="auto"/>
                <w:bottom w:val="none" w:sz="0" w:space="0" w:color="auto"/>
                <w:right w:val="none" w:sz="0" w:space="0" w:color="auto"/>
              </w:divBdr>
              <w:divsChild>
                <w:div w:id="1054963570">
                  <w:marLeft w:val="0"/>
                  <w:marRight w:val="0"/>
                  <w:marTop w:val="0"/>
                  <w:marBottom w:val="0"/>
                  <w:divBdr>
                    <w:top w:val="none" w:sz="0" w:space="0" w:color="auto"/>
                    <w:left w:val="none" w:sz="0" w:space="0" w:color="auto"/>
                    <w:bottom w:val="none" w:sz="0" w:space="0" w:color="auto"/>
                    <w:right w:val="none" w:sz="0" w:space="0" w:color="auto"/>
                  </w:divBdr>
                  <w:divsChild>
                    <w:div w:id="21026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076764">
      <w:bodyDiv w:val="1"/>
      <w:marLeft w:val="0"/>
      <w:marRight w:val="0"/>
      <w:marTop w:val="0"/>
      <w:marBottom w:val="0"/>
      <w:divBdr>
        <w:top w:val="none" w:sz="0" w:space="0" w:color="auto"/>
        <w:left w:val="none" w:sz="0" w:space="0" w:color="auto"/>
        <w:bottom w:val="none" w:sz="0" w:space="0" w:color="auto"/>
        <w:right w:val="none" w:sz="0" w:space="0" w:color="auto"/>
      </w:divBdr>
    </w:div>
    <w:div w:id="1835948012">
      <w:bodyDiv w:val="1"/>
      <w:marLeft w:val="0"/>
      <w:marRight w:val="0"/>
      <w:marTop w:val="0"/>
      <w:marBottom w:val="0"/>
      <w:divBdr>
        <w:top w:val="none" w:sz="0" w:space="0" w:color="auto"/>
        <w:left w:val="none" w:sz="0" w:space="0" w:color="auto"/>
        <w:bottom w:val="none" w:sz="0" w:space="0" w:color="auto"/>
        <w:right w:val="none" w:sz="0" w:space="0" w:color="auto"/>
      </w:divBdr>
    </w:div>
    <w:div w:id="1899584634">
      <w:bodyDiv w:val="1"/>
      <w:marLeft w:val="0"/>
      <w:marRight w:val="0"/>
      <w:marTop w:val="0"/>
      <w:marBottom w:val="0"/>
      <w:divBdr>
        <w:top w:val="none" w:sz="0" w:space="0" w:color="auto"/>
        <w:left w:val="none" w:sz="0" w:space="0" w:color="auto"/>
        <w:bottom w:val="none" w:sz="0" w:space="0" w:color="auto"/>
        <w:right w:val="none" w:sz="0" w:space="0" w:color="auto"/>
      </w:divBdr>
    </w:div>
    <w:div w:id="2005010379">
      <w:bodyDiv w:val="1"/>
      <w:marLeft w:val="0"/>
      <w:marRight w:val="0"/>
      <w:marTop w:val="0"/>
      <w:marBottom w:val="0"/>
      <w:divBdr>
        <w:top w:val="none" w:sz="0" w:space="0" w:color="auto"/>
        <w:left w:val="none" w:sz="0" w:space="0" w:color="auto"/>
        <w:bottom w:val="none" w:sz="0" w:space="0" w:color="auto"/>
        <w:right w:val="none" w:sz="0" w:space="0" w:color="auto"/>
      </w:divBdr>
      <w:divsChild>
        <w:div w:id="1620456807">
          <w:marLeft w:val="0"/>
          <w:marRight w:val="0"/>
          <w:marTop w:val="0"/>
          <w:marBottom w:val="0"/>
          <w:divBdr>
            <w:top w:val="none" w:sz="0" w:space="0" w:color="auto"/>
            <w:left w:val="none" w:sz="0" w:space="0" w:color="auto"/>
            <w:bottom w:val="none" w:sz="0" w:space="0" w:color="auto"/>
            <w:right w:val="none" w:sz="0" w:space="0" w:color="auto"/>
          </w:divBdr>
        </w:div>
        <w:div w:id="1375739519">
          <w:marLeft w:val="0"/>
          <w:marRight w:val="0"/>
          <w:marTop w:val="0"/>
          <w:marBottom w:val="0"/>
          <w:divBdr>
            <w:top w:val="none" w:sz="0" w:space="0" w:color="auto"/>
            <w:left w:val="none" w:sz="0" w:space="0" w:color="auto"/>
            <w:bottom w:val="none" w:sz="0" w:space="0" w:color="auto"/>
            <w:right w:val="none" w:sz="0" w:space="0" w:color="auto"/>
          </w:divBdr>
        </w:div>
      </w:divsChild>
    </w:div>
    <w:div w:id="203607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itbe.net" TargetMode="External"/><Relationship Id="rId18" Type="http://schemas.openxmlformats.org/officeDocument/2006/relationships/hyperlink" Target="mailto:noemie.galabru@witbe.ne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witbe.net" TargetMode="External"/><Relationship Id="rId17" Type="http://schemas.openxmlformats.org/officeDocument/2006/relationships/hyperlink" Target="mailto:moe@202comms.com" TargetMode="External"/><Relationship Id="rId2" Type="http://schemas.openxmlformats.org/officeDocument/2006/relationships/customXml" Target="../customXml/item2.xml"/><Relationship Id="rId16" Type="http://schemas.openxmlformats.org/officeDocument/2006/relationships/hyperlink" Target="https://www.202comms.com/Witbe/Remote_Eye_Controller.pn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itbe.net/" TargetMode="External"/><Relationship Id="rId5" Type="http://schemas.openxmlformats.org/officeDocument/2006/relationships/styles" Target="styles.xml"/><Relationship Id="rId15" Type="http://schemas.openxmlformats.org/officeDocument/2006/relationships/hyperlink" Target="https://www.202comms.com/Witbe/240625-Witbe-Paul_Bunyan_Communications.docx" TargetMode="External"/><Relationship Id="rId10" Type="http://schemas.openxmlformats.org/officeDocument/2006/relationships/image" Target="media/image1.png"/><Relationship Id="rId19" Type="http://schemas.openxmlformats.org/officeDocument/2006/relationships/hyperlink" Target="https://www.witbe.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aulbunya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77bf0f-24a0-4866-a4b7-c5543808036f">
      <Terms xmlns="http://schemas.microsoft.com/office/infopath/2007/PartnerControls"/>
    </lcf76f155ced4ddcb4097134ff3c332f>
    <TaxCatchAll xmlns="285d8ae4-1610-4ce0-a10a-53c85cf984e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18" ma:contentTypeDescription="Create a new document." ma:contentTypeScope="" ma:versionID="e17830476b2d52fbb7fc74cb8df76e8a">
  <xsd:schema xmlns:xsd="http://www.w3.org/2001/XMLSchema" xmlns:xs="http://www.w3.org/2001/XMLSchema" xmlns:p="http://schemas.microsoft.com/office/2006/metadata/properties" xmlns:ns2="0577bf0f-24a0-4866-a4b7-c5543808036f" xmlns:ns3="285d8ae4-1610-4ce0-a10a-53c85cf984ee" targetNamespace="http://schemas.microsoft.com/office/2006/metadata/properties" ma:root="true" ma:fieldsID="7303603688be2e689809d4edd95ee39d" ns2:_="" ns3:_="">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479344-8B47-4136-8E73-58242EF90C6B}">
  <ds:schemaRefs>
    <ds:schemaRef ds:uri="http://schemas.microsoft.com/sharepoint/v3/contenttype/forms"/>
  </ds:schemaRefs>
</ds:datastoreItem>
</file>

<file path=customXml/itemProps2.xml><?xml version="1.0" encoding="utf-8"?>
<ds:datastoreItem xmlns:ds="http://schemas.openxmlformats.org/officeDocument/2006/customXml" ds:itemID="{EFFAA0E2-4D5D-4DBC-A6B3-7934928CDBD8}">
  <ds:schemaRefs>
    <ds:schemaRef ds:uri="http://schemas.microsoft.com/office/2006/metadata/properties"/>
    <ds:schemaRef ds:uri="http://schemas.microsoft.com/office/infopath/2007/PartnerControls"/>
    <ds:schemaRef ds:uri="08b6ed48-a9b2-4d09-8352-9933fe3f4900"/>
    <ds:schemaRef ds:uri="396e2555-6062-4de9-8c0e-7d9d80615b93"/>
  </ds:schemaRefs>
</ds:datastoreItem>
</file>

<file path=customXml/itemProps3.xml><?xml version="1.0" encoding="utf-8"?>
<ds:datastoreItem xmlns:ds="http://schemas.openxmlformats.org/officeDocument/2006/customXml" ds:itemID="{68ABAB2B-8207-45FA-8EFD-4C4D99466920}"/>
</file>

<file path=docProps/app.xml><?xml version="1.0" encoding="utf-8"?>
<Properties xmlns="http://schemas.openxmlformats.org/officeDocument/2006/extended-properties" xmlns:vt="http://schemas.openxmlformats.org/officeDocument/2006/docPropsVTypes">
  <Application>Microsoft Office Word</Application>
  <Company/>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coreProperties>
</file>